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line="784" w:lineRule="exact" w:before="0"/>
        <w:ind w:left="1322" w:right="0" w:firstLine="0"/>
        <w:jc w:val="left"/>
        <w:rPr>
          <w:sz w:val="62"/>
        </w:rPr>
      </w:pPr>
      <w:r>
        <w:rPr>
          <w:rFonts w:ascii="Calibri" w:eastAsia="Calibri"/>
          <w:sz w:val="62"/>
        </w:rPr>
        <w:t>2018</w:t>
      </w:r>
      <w:r>
        <w:rPr>
          <w:sz w:val="62"/>
        </w:rPr>
        <w:t>年徐州市医疗卫生机构</w:t>
      </w:r>
    </w:p>
    <w:p>
      <w:pPr>
        <w:spacing w:before="65"/>
        <w:ind w:left="482" w:right="0" w:firstLine="0"/>
        <w:jc w:val="left"/>
        <w:rPr>
          <w:sz w:val="62"/>
        </w:rPr>
      </w:pPr>
      <w:r>
        <w:rPr>
          <w:w w:val="95"/>
          <w:sz w:val="62"/>
        </w:rPr>
        <w:t>医用耗材和检验检测试剂集中采购</w:t>
      </w:r>
    </w:p>
    <w:p>
      <w:pPr>
        <w:pStyle w:val="BodyText"/>
        <w:spacing w:before="11"/>
        <w:ind w:left="0"/>
        <w:rPr>
          <w:sz w:val="80"/>
        </w:rPr>
      </w:pPr>
    </w:p>
    <w:p>
      <w:pPr>
        <w:spacing w:line="220" w:lineRule="auto" w:before="0"/>
        <w:ind w:left="4173" w:right="4229" w:firstLine="0"/>
        <w:jc w:val="both"/>
        <w:rPr>
          <w:rFonts w:ascii="PMingLiU" w:eastAsia="PMingLiU" w:hint="eastAsia"/>
          <w:sz w:val="112"/>
        </w:rPr>
      </w:pPr>
      <w:r>
        <w:rPr>
          <w:rFonts w:ascii="PMingLiU" w:eastAsia="PMingLiU" w:hint="eastAsia"/>
          <w:sz w:val="112"/>
        </w:rPr>
        <w:t>采购文件</w:t>
      </w:r>
    </w:p>
    <w:p>
      <w:pPr>
        <w:spacing w:before="726"/>
        <w:ind w:left="2863" w:right="0" w:firstLine="0"/>
        <w:jc w:val="left"/>
        <w:rPr>
          <w:sz w:val="40"/>
        </w:rPr>
      </w:pPr>
      <w:r>
        <w:rPr>
          <w:w w:val="105"/>
          <w:sz w:val="40"/>
        </w:rPr>
        <w:t>编号：XZHCCG-2018</w:t>
      </w:r>
    </w:p>
    <w:p>
      <w:pPr>
        <w:spacing w:line="280" w:lineRule="auto" w:before="88"/>
        <w:ind w:left="1933" w:right="1988" w:hanging="2"/>
        <w:jc w:val="center"/>
        <w:rPr>
          <w:sz w:val="40"/>
        </w:rPr>
      </w:pPr>
      <w:r>
        <w:rPr>
          <w:spacing w:val="-3"/>
          <w:sz w:val="40"/>
        </w:rPr>
        <w:t>徐州市卫生和计划生育委员会 </w:t>
      </w:r>
      <w:r>
        <w:rPr>
          <w:spacing w:val="-4"/>
          <w:sz w:val="40"/>
        </w:rPr>
        <w:t>海虹医药电子交易中心有限公司</w:t>
      </w:r>
    </w:p>
    <w:p>
      <w:pPr>
        <w:spacing w:before="1"/>
        <w:ind w:left="527" w:right="580" w:firstLine="0"/>
        <w:jc w:val="center"/>
        <w:rPr>
          <w:sz w:val="40"/>
        </w:rPr>
      </w:pPr>
      <w:r>
        <w:rPr>
          <w:sz w:val="40"/>
        </w:rPr>
        <w:t>2018</w:t>
      </w:r>
      <w:r>
        <w:rPr>
          <w:spacing w:val="-68"/>
          <w:sz w:val="40"/>
        </w:rPr>
        <w:t> 年 </w:t>
      </w:r>
      <w:r>
        <w:rPr>
          <w:sz w:val="40"/>
        </w:rPr>
        <w:t>7</w:t>
      </w:r>
      <w:r>
        <w:rPr>
          <w:spacing w:val="-51"/>
          <w:sz w:val="40"/>
        </w:rPr>
        <w:t> 月</w:t>
      </w:r>
    </w:p>
    <w:p>
      <w:pPr>
        <w:spacing w:after="0"/>
        <w:jc w:val="center"/>
        <w:rPr>
          <w:sz w:val="40"/>
        </w:rPr>
        <w:sectPr>
          <w:footerReference w:type="default" r:id="rId5"/>
          <w:type w:val="continuous"/>
          <w:pgSz w:w="11910" w:h="16840"/>
          <w:pgMar w:footer="1302" w:top="1480" w:bottom="1500" w:left="1220" w:right="1160"/>
          <w:pgNumType w:start="1"/>
        </w:sectPr>
      </w:pPr>
    </w:p>
    <w:p>
      <w:pPr>
        <w:pStyle w:val="BodyText"/>
        <w:spacing w:before="4"/>
        <w:ind w:left="0"/>
        <w:rPr>
          <w:sz w:val="17"/>
        </w:rPr>
      </w:pPr>
    </w:p>
    <w:p>
      <w:pPr>
        <w:pStyle w:val="BodyText"/>
        <w:spacing w:line="321" w:lineRule="auto" w:before="56"/>
        <w:ind w:left="527" w:right="585"/>
        <w:jc w:val="center"/>
      </w:pPr>
      <w:r>
        <w:rPr/>
        <w:t>根据《</w:t>
      </w:r>
      <w:r>
        <w:rPr>
          <w:rFonts w:ascii="Calibri" w:eastAsia="Calibri"/>
        </w:rPr>
        <w:t>2018 </w:t>
      </w:r>
      <w:r>
        <w:rPr/>
        <w:t>年徐州市医疗卫生机构医用耗材和检验检测试剂集中采购实施方案》制定本采购文件。</w:t>
      </w:r>
    </w:p>
    <w:p>
      <w:pPr>
        <w:pStyle w:val="Heading1"/>
        <w:ind w:left="527" w:right="580"/>
        <w:jc w:val="center"/>
      </w:pPr>
      <w:r>
        <w:rPr/>
        <w:t>第一章 总则</w:t>
      </w:r>
    </w:p>
    <w:p>
      <w:pPr>
        <w:pStyle w:val="BodyText"/>
        <w:spacing w:before="60"/>
        <w:ind w:left="1086"/>
      </w:pPr>
      <w:r>
        <w:rPr>
          <w:color w:val="333333"/>
        </w:rPr>
        <w:t>一、总体目标</w:t>
      </w:r>
    </w:p>
    <w:p>
      <w:pPr>
        <w:pStyle w:val="BodyText"/>
        <w:spacing w:line="321" w:lineRule="auto" w:before="139"/>
        <w:ind w:right="429" w:firstLine="640"/>
        <w:jc w:val="both"/>
      </w:pPr>
      <w:r>
        <w:rPr/>
        <w:t>进一步规范医用耗材和检验检测试剂集中采购工作，明确</w:t>
      </w:r>
      <w:r>
        <w:rPr>
          <w:w w:val="95"/>
        </w:rPr>
        <w:t>当事人行为规范，完善采购制度，实现医用耗材和检验检测试 剂安全有效、品质良好、价格合理、供应及时，促进全市医疗 卫生机构医用耗材和检验检测试剂采购工作深入开展，使群众 </w:t>
      </w:r>
      <w:r>
        <w:rPr/>
        <w:t>得到更多实惠。</w:t>
      </w:r>
    </w:p>
    <w:p>
      <w:pPr>
        <w:pStyle w:val="BodyText"/>
        <w:spacing w:line="409" w:lineRule="exact"/>
        <w:ind w:left="1010"/>
      </w:pPr>
      <w:r>
        <w:rPr/>
        <w:t>二、基本原则</w:t>
      </w:r>
    </w:p>
    <w:p>
      <w:pPr>
        <w:pStyle w:val="BodyText"/>
        <w:spacing w:line="321" w:lineRule="auto" w:before="140"/>
        <w:ind w:right="429" w:firstLine="640"/>
        <w:jc w:val="both"/>
      </w:pPr>
      <w:r>
        <w:rPr/>
        <w:t>实行以政府为主导、以市为单位的网上医用耗材和检验检</w:t>
      </w:r>
      <w:r>
        <w:rPr>
          <w:w w:val="95"/>
        </w:rPr>
        <w:t>测试剂集中采购，坚持质量优先、价格合理、性价比适宜的原 则，完善医用耗材和检验检测试剂量价挂钩、招采合一的采购 机制。按照公开透明、公平竞争、公正廉洁和科学诚信原则， </w:t>
      </w:r>
      <w:r>
        <w:rPr/>
        <w:t>保证医用耗材和检验检测试剂生产经营企业平等参与。</w:t>
      </w:r>
    </w:p>
    <w:p>
      <w:pPr>
        <w:pStyle w:val="BodyText"/>
        <w:spacing w:line="409" w:lineRule="exact"/>
        <w:ind w:left="1010"/>
      </w:pPr>
      <w:r>
        <w:rPr/>
        <w:t>三、实施范围</w:t>
      </w:r>
    </w:p>
    <w:p>
      <w:pPr>
        <w:pStyle w:val="BodyText"/>
        <w:spacing w:line="321" w:lineRule="auto" w:before="139"/>
        <w:ind w:right="433" w:firstLine="640"/>
      </w:pPr>
      <w:r>
        <w:rPr>
          <w:w w:val="95"/>
        </w:rPr>
        <w:t>（一）全市公立医疗卫生机构，市疾控中心、中心血站等 </w:t>
      </w:r>
      <w:r>
        <w:rPr/>
        <w:t>直属机构。</w:t>
      </w:r>
    </w:p>
    <w:p>
      <w:pPr>
        <w:pStyle w:val="BodyText"/>
        <w:spacing w:line="321" w:lineRule="auto"/>
        <w:ind w:right="433" w:firstLine="640"/>
      </w:pPr>
      <w:r>
        <w:rPr>
          <w:w w:val="95"/>
        </w:rPr>
        <w:t>（二）鼓励其他医疗卫生机构参加医用耗材和检验检测试 </w:t>
      </w:r>
      <w:r>
        <w:rPr/>
        <w:t>剂集中采购。</w:t>
      </w:r>
    </w:p>
    <w:p>
      <w:pPr>
        <w:pStyle w:val="BodyText"/>
        <w:ind w:left="1010"/>
      </w:pPr>
      <w:r>
        <w:rPr/>
        <w:t>四、采购模式</w:t>
      </w:r>
    </w:p>
    <w:p>
      <w:pPr>
        <w:pStyle w:val="BodyText"/>
        <w:spacing w:line="321" w:lineRule="auto" w:before="139"/>
        <w:ind w:right="112" w:firstLine="640"/>
      </w:pPr>
      <w:r>
        <w:rPr/>
        <w:t>以市为单位集中采购，医疗卫生机构和医用耗材和检验检 测试剂生产经营企业必须通过市采购与监管平台开展集中采购， 实行统一组织、统一平台和统一监管。</w:t>
      </w:r>
    </w:p>
    <w:p>
      <w:pPr>
        <w:spacing w:after="0" w:line="321" w:lineRule="auto"/>
        <w:sectPr>
          <w:pgSz w:w="11910" w:h="16840"/>
          <w:pgMar w:header="0" w:footer="1302" w:top="1580" w:bottom="1500" w:left="1220" w:right="1160"/>
        </w:sectPr>
      </w:pPr>
    </w:p>
    <w:p>
      <w:pPr>
        <w:pStyle w:val="BodyText"/>
        <w:spacing w:before="29"/>
        <w:ind w:left="1010"/>
      </w:pPr>
      <w:r>
        <w:rPr>
          <w:w w:val="95"/>
        </w:rPr>
        <w:t>五、采购周期</w:t>
      </w:r>
    </w:p>
    <w:p>
      <w:pPr>
        <w:pStyle w:val="BodyText"/>
        <w:spacing w:line="319" w:lineRule="auto" w:before="140"/>
        <w:ind w:left="1010" w:right="4355"/>
      </w:pPr>
      <w:r>
        <w:rPr>
          <w:spacing w:val="-2"/>
        </w:rPr>
        <w:t>采购周期原则上不少于两年。</w:t>
      </w:r>
      <w:r>
        <w:rPr/>
        <w:t>六、适用范围</w:t>
      </w:r>
    </w:p>
    <w:p>
      <w:pPr>
        <w:pStyle w:val="BodyText"/>
        <w:spacing w:line="321" w:lineRule="auto" w:before="6"/>
        <w:ind w:right="112" w:firstLine="640"/>
      </w:pPr>
      <w:r>
        <w:rPr/>
        <w:t>参与我市医用耗材和检验检测试剂集中采购各方当事人， 包括：医疗卫生机构、医用耗材和检验检测试剂生产经营企业， 市、县（市、区）卫生计生行政部门及相关部门等。</w:t>
      </w:r>
    </w:p>
    <w:p>
      <w:pPr>
        <w:pStyle w:val="Heading1"/>
        <w:ind w:left="3089"/>
      </w:pPr>
      <w:r>
        <w:rPr/>
        <w:t>第二章 组织机构与职责</w:t>
      </w:r>
    </w:p>
    <w:p>
      <w:pPr>
        <w:pStyle w:val="BodyText"/>
        <w:spacing w:before="60"/>
        <w:ind w:left="1010"/>
      </w:pPr>
      <w:r>
        <w:rPr/>
        <w:t>一、组织领导</w:t>
      </w:r>
    </w:p>
    <w:p>
      <w:pPr>
        <w:pStyle w:val="BodyText"/>
        <w:spacing w:line="321" w:lineRule="auto" w:before="140"/>
        <w:ind w:right="518" w:firstLine="640"/>
        <w:jc w:val="both"/>
      </w:pPr>
      <w:r>
        <w:rPr>
          <w:spacing w:val="-1"/>
        </w:rPr>
        <w:t>市医用耗材和检验检测试剂集中采购工作领导小组领导全</w:t>
      </w:r>
      <w:r>
        <w:rPr/>
        <w:t>市的医用耗材和检验检测试剂集中采购工作（</w:t>
      </w:r>
      <w:r>
        <w:rPr>
          <w:spacing w:val="-3"/>
        </w:rPr>
        <w:t>领导小组办公室</w:t>
      </w:r>
      <w:r>
        <w:rPr/>
        <w:t>设在市卫生计生委</w:t>
      </w:r>
      <w:r>
        <w:rPr>
          <w:w w:val="80"/>
        </w:rPr>
        <w:t>,</w:t>
      </w:r>
      <w:r>
        <w:rPr/>
        <w:t>以下简称市耗材集中采购办公室</w:t>
      </w:r>
      <w:r>
        <w:rPr>
          <w:spacing w:val="-161"/>
        </w:rPr>
        <w:t>）</w:t>
      </w:r>
      <w:r>
        <w:rPr/>
        <w:t>。市耗材</w:t>
      </w:r>
      <w:r>
        <w:rPr>
          <w:spacing w:val="-1"/>
          <w:w w:val="95"/>
        </w:rPr>
        <w:t>集中采购办公室协调并督促各部门按照各自职责做好集中采购</w:t>
      </w:r>
    </w:p>
    <w:p>
      <w:pPr>
        <w:pStyle w:val="BodyText"/>
        <w:spacing w:line="321" w:lineRule="auto"/>
        <w:ind w:right="112"/>
      </w:pPr>
      <w:r>
        <w:rPr/>
        <w:t>相关工作，协调人社、物价、食药监等部门共同制定工作规则、研究集中采购实施过程中的重大事项。成</w:t>
      </w:r>
      <w:hyperlink r:id="rId6">
        <w:r>
          <w:rPr/>
          <w:t>立医用耗材</w:t>
        </w:r>
      </w:hyperlink>
      <w:r>
        <w:rPr/>
        <w:t>和检验检 测试剂集中采购评审委员会，负责医用耗材和检验检测试剂集 中采购评审工作；成立监督委员会，由市纪委监委派驻第十纪 检监察组负责牵头，抽调相关单位相关人员组成，实施全程监 督；</w:t>
      </w:r>
      <w:r>
        <w:rPr>
          <w:color w:val="333333"/>
        </w:rPr>
        <w:t>各县（市</w:t>
      </w:r>
      <w:r>
        <w:rPr>
          <w:color w:val="333333"/>
          <w:spacing w:val="-161"/>
        </w:rPr>
        <w:t>）</w:t>
      </w:r>
      <w:r>
        <w:rPr>
          <w:color w:val="333333"/>
        </w:rPr>
        <w:t>、区卫生计生部门对辖区内医疗卫生机构</w:t>
      </w:r>
      <w:hyperlink r:id="rId6">
        <w:r>
          <w:rPr>
            <w:color w:val="333333"/>
          </w:rPr>
          <w:t>医用</w:t>
        </w:r>
      </w:hyperlink>
    </w:p>
    <w:p>
      <w:pPr>
        <w:pStyle w:val="BodyText"/>
        <w:spacing w:line="321" w:lineRule="auto"/>
        <w:ind w:left="995" w:right="517" w:hanging="627"/>
      </w:pPr>
      <w:hyperlink r:id="rId6">
        <w:r>
          <w:rPr>
            <w:color w:val="333333"/>
          </w:rPr>
          <w:t>耗材</w:t>
        </w:r>
      </w:hyperlink>
      <w:r>
        <w:rPr/>
        <w:t>和检验检测试剂</w:t>
      </w:r>
      <w:r>
        <w:rPr>
          <w:color w:val="333333"/>
        </w:rPr>
        <w:t>集中采购工作进行组织协调、监督管理。二、服务机构</w:t>
      </w:r>
    </w:p>
    <w:p>
      <w:pPr>
        <w:pStyle w:val="BodyText"/>
        <w:spacing w:line="321" w:lineRule="auto"/>
        <w:ind w:right="420" w:firstLine="640"/>
        <w:jc w:val="both"/>
      </w:pPr>
      <w:r>
        <w:rPr>
          <w:spacing w:val="2"/>
          <w:w w:val="95"/>
        </w:rPr>
        <w:t>海虹医药电子交易中心有限公司作为服务机构，</w:t>
      </w:r>
      <w:r>
        <w:rPr>
          <w:color w:val="333333"/>
          <w:spacing w:val="4"/>
          <w:w w:val="95"/>
        </w:rPr>
        <w:t>协助完成 </w:t>
      </w:r>
      <w:r>
        <w:rPr>
          <w:color w:val="333333"/>
          <w:spacing w:val="4"/>
        </w:rPr>
        <w:t>医用耗材</w:t>
      </w:r>
      <w:r>
        <w:rPr>
          <w:spacing w:val="1"/>
        </w:rPr>
        <w:t>和检验检测试剂集中采购</w:t>
      </w:r>
      <w:r>
        <w:rPr>
          <w:color w:val="333333"/>
          <w:spacing w:val="4"/>
        </w:rPr>
        <w:t>工作，</w:t>
      </w:r>
      <w:r>
        <w:rPr/>
        <w:t>搭建和维护集中采购平台，提供业务、数据、技术等各方面服务，接收企业资料， 接待企业咨询。</w:t>
      </w:r>
    </w:p>
    <w:p>
      <w:pPr>
        <w:pStyle w:val="Heading1"/>
        <w:tabs>
          <w:tab w:pos="1286" w:val="left" w:leader="none"/>
        </w:tabs>
        <w:spacing w:line="397" w:lineRule="exact"/>
        <w:ind w:right="53"/>
        <w:jc w:val="center"/>
        <w:rPr>
          <w:rFonts w:ascii="仿宋" w:eastAsia="仿宋" w:hint="eastAsia"/>
        </w:rPr>
      </w:pPr>
      <w:r>
        <w:rPr>
          <w:rFonts w:ascii="仿宋" w:eastAsia="仿宋" w:hint="eastAsia"/>
        </w:rPr>
        <w:t>第三章</w:t>
        <w:tab/>
        <w:t>采购目录</w:t>
      </w:r>
    </w:p>
    <w:p>
      <w:pPr>
        <w:spacing w:after="0" w:line="397" w:lineRule="exact"/>
        <w:jc w:val="center"/>
        <w:rPr>
          <w:rFonts w:ascii="仿宋" w:eastAsia="仿宋" w:hint="eastAsia"/>
        </w:rPr>
        <w:sectPr>
          <w:pgSz w:w="11910" w:h="16840"/>
          <w:pgMar w:header="0" w:footer="1302" w:top="1380" w:bottom="1500" w:left="1220" w:right="1160"/>
        </w:sectPr>
      </w:pPr>
    </w:p>
    <w:p>
      <w:pPr>
        <w:pStyle w:val="BodyText"/>
        <w:spacing w:line="321" w:lineRule="auto" w:before="29"/>
        <w:ind w:right="441" w:firstLine="640"/>
        <w:jc w:val="both"/>
      </w:pPr>
      <w:r>
        <w:rPr/>
        <w:t>根据省卫计委等三部门《关于开展医用耗材和检验检测试</w:t>
      </w:r>
      <w:r>
        <w:rPr>
          <w:spacing w:val="-15"/>
        </w:rPr>
        <w:t>剂集中采购工作的通知》</w:t>
      </w:r>
      <w:r>
        <w:rPr/>
        <w:t>（苏卫药政【2017</w:t>
      </w:r>
      <w:r>
        <w:rPr>
          <w:spacing w:val="3"/>
        </w:rPr>
        <w:t>】</w:t>
      </w:r>
      <w:r>
        <w:rPr/>
        <w:t>3</w:t>
      </w:r>
      <w:r>
        <w:rPr>
          <w:spacing w:val="-47"/>
        </w:rPr>
        <w:t> 号</w:t>
      </w:r>
      <w:r>
        <w:rPr/>
        <w:t>）</w:t>
      </w:r>
      <w:r>
        <w:rPr>
          <w:spacing w:val="-3"/>
        </w:rPr>
        <w:t>要求，结合</w:t>
      </w:r>
      <w:r>
        <w:rPr/>
        <w:t>我市医疗卫生机构医用耗材和检验检测试剂采购使用现状，确定本次集中采购目录为除以省为单位集中采购的血管介入、非血管介入、神经外科、起搏器、电生理、眼科等六大类高值医用耗材以外的所有医用耗材和检验检测试剂。</w:t>
      </w:r>
    </w:p>
    <w:p>
      <w:pPr>
        <w:pStyle w:val="Heading1"/>
        <w:tabs>
          <w:tab w:pos="1869" w:val="left" w:leader="none"/>
        </w:tabs>
        <w:spacing w:line="400" w:lineRule="exact"/>
        <w:ind w:left="583"/>
        <w:jc w:val="center"/>
        <w:rPr>
          <w:rFonts w:ascii="仿宋" w:eastAsia="仿宋" w:hint="eastAsia"/>
        </w:rPr>
      </w:pPr>
      <w:r>
        <w:rPr>
          <w:rFonts w:ascii="仿宋" w:eastAsia="仿宋" w:hint="eastAsia"/>
        </w:rPr>
        <w:t>第四章</w:t>
        <w:tab/>
        <w:t>采购方式</w:t>
      </w:r>
    </w:p>
    <w:p>
      <w:pPr>
        <w:pStyle w:val="BodyText"/>
        <w:spacing w:before="77"/>
        <w:ind w:left="1010"/>
      </w:pPr>
      <w:r>
        <w:rPr/>
        <w:t>一、竞价采购</w:t>
      </w:r>
    </w:p>
    <w:p>
      <w:pPr>
        <w:pStyle w:val="BodyText"/>
        <w:spacing w:line="321" w:lineRule="auto" w:before="138"/>
        <w:ind w:right="514" w:firstLine="640"/>
      </w:pPr>
      <w:r>
        <w:rPr>
          <w:rFonts w:ascii="仿宋" w:eastAsia="仿宋" w:hint="eastAsia"/>
        </w:rPr>
        <w:t>对集中采购目录中</w:t>
      </w:r>
      <w:r>
        <w:rPr>
          <w:spacing w:val="-12"/>
        </w:rPr>
        <w:t>同评审分组有 </w:t>
      </w:r>
      <w:r>
        <w:rPr>
          <w:rFonts w:ascii="仿宋" w:eastAsia="仿宋" w:hint="eastAsia"/>
        </w:rPr>
        <w:t>3</w:t>
      </w:r>
      <w:r>
        <w:rPr>
          <w:rFonts w:ascii="仿宋" w:eastAsia="仿宋" w:hint="eastAsia"/>
          <w:spacing w:val="-11"/>
        </w:rPr>
        <w:t> 家及以上企业参与的竞</w:t>
      </w:r>
      <w:r>
        <w:rPr>
          <w:rFonts w:ascii="仿宋" w:eastAsia="仿宋" w:hint="eastAsia"/>
          <w:spacing w:val="-14"/>
        </w:rPr>
        <w:t>争性产品， </w:t>
      </w:r>
      <w:r>
        <w:rPr/>
        <w:t>采用综合评审的方式确定入围产品及其价格。</w:t>
      </w:r>
    </w:p>
    <w:p>
      <w:pPr>
        <w:pStyle w:val="BodyText"/>
        <w:ind w:left="1010"/>
      </w:pPr>
      <w:r>
        <w:rPr/>
        <w:t>二、议价采购</w:t>
      </w:r>
    </w:p>
    <w:p>
      <w:pPr>
        <w:pStyle w:val="BodyText"/>
        <w:spacing w:line="297" w:lineRule="auto" w:before="140"/>
        <w:ind w:right="517" w:firstLine="640"/>
        <w:jc w:val="both"/>
        <w:rPr>
          <w:rFonts w:ascii="仿宋" w:eastAsia="仿宋" w:hint="eastAsia"/>
        </w:rPr>
      </w:pPr>
      <w:r>
        <w:rPr>
          <w:rFonts w:ascii="仿宋" w:eastAsia="仿宋" w:hint="eastAsia"/>
        </w:rPr>
        <w:t>对集中采购目录中</w:t>
      </w:r>
      <w:r>
        <w:rPr>
          <w:spacing w:val="-14"/>
        </w:rPr>
        <w:t>同评审分组 </w:t>
      </w:r>
      <w:r>
        <w:rPr>
          <w:rFonts w:ascii="仿宋" w:eastAsia="仿宋" w:hint="eastAsia"/>
        </w:rPr>
        <w:t>2</w:t>
      </w:r>
      <w:r>
        <w:rPr>
          <w:rFonts w:ascii="仿宋" w:eastAsia="仿宋" w:hint="eastAsia"/>
          <w:spacing w:val="-11"/>
        </w:rPr>
        <w:t> 家及以下企业参与的医用</w:t>
      </w:r>
      <w:r>
        <w:rPr>
          <w:rFonts w:ascii="仿宋" w:eastAsia="仿宋" w:hint="eastAsia"/>
          <w:spacing w:val="-1"/>
        </w:rPr>
        <w:t>耗材和检验检测试剂，通过议价系统和专家进行网上议价，确</w:t>
      </w:r>
      <w:r>
        <w:rPr>
          <w:rFonts w:ascii="仿宋" w:eastAsia="仿宋" w:hint="eastAsia"/>
        </w:rPr>
        <w:t>定入围产品及其价格。</w:t>
      </w:r>
    </w:p>
    <w:p>
      <w:pPr>
        <w:pStyle w:val="BodyText"/>
        <w:spacing w:line="388" w:lineRule="exact"/>
        <w:ind w:left="1010"/>
      </w:pPr>
      <w:r>
        <w:rPr>
          <w:w w:val="95"/>
        </w:rPr>
        <w:t>三、限价挂网采购</w:t>
      </w:r>
    </w:p>
    <w:p>
      <w:pPr>
        <w:pStyle w:val="BodyText"/>
        <w:spacing w:line="321" w:lineRule="auto" w:before="139"/>
        <w:ind w:right="433" w:firstLine="640"/>
      </w:pPr>
      <w:r>
        <w:rPr>
          <w:w w:val="95"/>
        </w:rPr>
        <w:t>对集中采购目录中专机专用试剂采用限价挂网采购方式， </w:t>
      </w:r>
      <w:r>
        <w:rPr/>
        <w:t>即企业报价不高于产品上限价即可挂网采购。</w:t>
      </w:r>
    </w:p>
    <w:p>
      <w:pPr>
        <w:pStyle w:val="BodyText"/>
        <w:spacing w:before="1"/>
        <w:ind w:left="1010"/>
      </w:pPr>
      <w:r>
        <w:rPr>
          <w:w w:val="95"/>
        </w:rPr>
        <w:t>四、备选采购</w:t>
      </w:r>
    </w:p>
    <w:p>
      <w:pPr>
        <w:pStyle w:val="BodyText"/>
        <w:spacing w:line="321" w:lineRule="auto" w:before="137"/>
        <w:ind w:right="429" w:firstLine="640"/>
        <w:jc w:val="both"/>
      </w:pPr>
      <w:r>
        <w:rPr/>
        <w:t>对集中采购目录中入围空缺、经济技术标评审入围但综合</w:t>
      </w:r>
      <w:r>
        <w:rPr>
          <w:w w:val="95"/>
        </w:rPr>
        <w:t>评审未入围且临床诊疗必需的产品，经评审委员会组织专家审 核后，可作为备选入围产品供医疗卫生机构价格谈判，确定采 </w:t>
      </w:r>
      <w:r>
        <w:rPr/>
        <w:t>购产品及其价格。</w:t>
      </w:r>
    </w:p>
    <w:p>
      <w:pPr>
        <w:pStyle w:val="BodyText"/>
        <w:spacing w:before="1"/>
        <w:ind w:left="1010"/>
      </w:pPr>
      <w:r>
        <w:rPr>
          <w:w w:val="95"/>
        </w:rPr>
        <w:t>五、备案采购</w:t>
      </w:r>
    </w:p>
    <w:p>
      <w:pPr>
        <w:pStyle w:val="BodyText"/>
        <w:spacing w:line="321" w:lineRule="auto" w:before="137"/>
        <w:ind w:right="518" w:firstLine="640"/>
      </w:pPr>
      <w:r>
        <w:rPr/>
        <w:t>为鼓励技术创新和技术进步，促使新技术、新产品尽快应用于临床，对本次集中采购后新研发上市以及不在本次采购具</w:t>
      </w:r>
    </w:p>
    <w:p>
      <w:pPr>
        <w:spacing w:after="0" w:line="321" w:lineRule="auto"/>
        <w:sectPr>
          <w:pgSz w:w="11910" w:h="16840"/>
          <w:pgMar w:header="0" w:footer="1302" w:top="1380" w:bottom="1500" w:left="1220" w:right="1160"/>
        </w:sectPr>
      </w:pPr>
    </w:p>
    <w:p>
      <w:pPr>
        <w:pStyle w:val="BodyText"/>
        <w:spacing w:line="321" w:lineRule="auto" w:before="29"/>
        <w:ind w:right="679"/>
      </w:pPr>
      <w:r>
        <w:rPr>
          <w:w w:val="99"/>
        </w:rPr>
        <w:t>体目录内的医用耗材和检验检测试剂（省管耗材目录除外</w:t>
      </w:r>
      <w:r>
        <w:rPr>
          <w:spacing w:val="-169"/>
          <w:w w:val="99"/>
        </w:rPr>
        <w:t>）</w:t>
      </w:r>
      <w:r>
        <w:rPr>
          <w:spacing w:val="-15"/>
          <w:w w:val="99"/>
        </w:rPr>
        <w:t>，</w:t>
      </w:r>
      <w:r>
        <w:rPr/>
        <w:t>临床需要可进行备案采购（具体管理办法另行制定</w:t>
      </w:r>
      <w:r>
        <w:rPr>
          <w:spacing w:val="-161"/>
        </w:rPr>
        <w:t>）</w:t>
      </w:r>
      <w:r>
        <w:rPr/>
        <w:t>。</w:t>
      </w:r>
    </w:p>
    <w:p>
      <w:pPr>
        <w:pStyle w:val="BodyText"/>
        <w:spacing w:line="408" w:lineRule="exact"/>
        <w:ind w:left="1010"/>
      </w:pPr>
      <w:r>
        <w:rPr/>
        <w:t>六、询价采购</w:t>
      </w:r>
    </w:p>
    <w:p>
      <w:pPr>
        <w:pStyle w:val="BodyText"/>
        <w:spacing w:line="321" w:lineRule="auto" w:before="139"/>
        <w:ind w:right="518" w:firstLine="640"/>
        <w:jc w:val="both"/>
      </w:pPr>
      <w:r>
        <w:rPr>
          <w:spacing w:val="-1"/>
        </w:rPr>
        <w:t>对临床急需、企业生产积极性不高、采购有困难的医用耗</w:t>
      </w:r>
      <w:r>
        <w:rPr/>
        <w:t>材和检验检测试剂，采取询价采购方式采购（</w:t>
      </w:r>
      <w:r>
        <w:rPr>
          <w:spacing w:val="-3"/>
        </w:rPr>
        <w:t>具体办法另行制</w:t>
      </w:r>
      <w:r>
        <w:rPr/>
        <w:t>定</w:t>
      </w:r>
      <w:r>
        <w:rPr>
          <w:spacing w:val="-161"/>
        </w:rPr>
        <w:t>）</w:t>
      </w:r>
      <w:r>
        <w:rPr/>
        <w:t>。</w:t>
      </w:r>
    </w:p>
    <w:p>
      <w:pPr>
        <w:pStyle w:val="Heading1"/>
        <w:tabs>
          <w:tab w:pos="1286" w:val="left" w:leader="none"/>
        </w:tabs>
        <w:ind w:right="58"/>
        <w:jc w:val="center"/>
      </w:pPr>
      <w:r>
        <w:rPr/>
        <w:t>第五章</w:t>
        <w:tab/>
        <w:t>制定上限价</w:t>
      </w:r>
    </w:p>
    <w:p>
      <w:pPr>
        <w:pStyle w:val="BodyText"/>
        <w:spacing w:before="60"/>
        <w:ind w:left="1010"/>
      </w:pPr>
      <w:r>
        <w:rPr/>
        <w:t>一、依据来源</w:t>
      </w:r>
    </w:p>
    <w:p>
      <w:pPr>
        <w:pStyle w:val="BodyText"/>
        <w:spacing w:line="321" w:lineRule="auto" w:before="140"/>
        <w:ind w:right="406" w:firstLine="640"/>
      </w:pPr>
      <w:r>
        <w:rPr/>
        <w:t>（一）</w:t>
      </w:r>
      <w:r>
        <w:rPr>
          <w:rFonts w:ascii="Times New Roman" w:eastAsia="Times New Roman"/>
        </w:rPr>
        <w:t>2015 </w:t>
      </w:r>
      <w:r>
        <w:rPr/>
        <w:t>年以来我省其他地级市医用耗材和检验检测试剂集中采购入围（中标）价格、价格谈判成交价格；</w:t>
      </w:r>
    </w:p>
    <w:p>
      <w:pPr>
        <w:pStyle w:val="BodyText"/>
        <w:spacing w:line="321" w:lineRule="auto"/>
        <w:ind w:right="518" w:firstLine="640"/>
      </w:pPr>
      <w:r>
        <w:rPr/>
        <w:t>（二）企业提供的 2015 年以来在外省（市、区）或省外地级市医用耗材和检验检测试剂集中采购的最低入围（中标） 价格；</w:t>
      </w:r>
    </w:p>
    <w:p>
      <w:pPr>
        <w:pStyle w:val="BodyText"/>
        <w:spacing w:line="321" w:lineRule="auto"/>
        <w:ind w:right="518" w:firstLine="640"/>
      </w:pPr>
      <w:r>
        <w:rPr/>
        <w:t>（三）徐州市公立医疗卫生机构上报的本机构采购使用产品的实际采购价格。</w:t>
      </w:r>
    </w:p>
    <w:p>
      <w:pPr>
        <w:pStyle w:val="BodyText"/>
        <w:ind w:left="1010"/>
      </w:pPr>
      <w:r>
        <w:rPr/>
        <w:t>二、制定原则和方法</w:t>
      </w:r>
    </w:p>
    <w:p>
      <w:pPr>
        <w:pStyle w:val="BodyText"/>
        <w:spacing w:line="319" w:lineRule="auto" w:before="139"/>
        <w:ind w:right="518" w:firstLine="640"/>
      </w:pPr>
      <w:r>
        <w:rPr/>
        <w:t>（一）以同产品的价格为依据，针对每一个产品，制定采购上限价。</w:t>
      </w:r>
    </w:p>
    <w:p>
      <w:pPr>
        <w:pStyle w:val="BodyText"/>
        <w:spacing w:line="321" w:lineRule="auto" w:before="6"/>
        <w:ind w:right="518" w:firstLine="640"/>
      </w:pPr>
      <w:r>
        <w:rPr/>
        <w:t>（二）采购上限价由专家组讨论确定。上述依据来源中的最低价为本次该产品采购上限价的参考价。</w:t>
      </w:r>
    </w:p>
    <w:p>
      <w:pPr>
        <w:pStyle w:val="BodyText"/>
        <w:spacing w:line="321" w:lineRule="auto" w:before="1"/>
        <w:ind w:right="518" w:firstLine="640"/>
      </w:pPr>
      <w:r>
        <w:rPr/>
        <w:t>（三）无有效采购上限价制定依据的产品，专家组按照原则上不高于同目录、同组别其他产品采购上限价的原则制定。</w:t>
      </w:r>
    </w:p>
    <w:p>
      <w:pPr>
        <w:pStyle w:val="BodyText"/>
        <w:spacing w:line="321" w:lineRule="auto"/>
        <w:ind w:right="518" w:firstLine="640"/>
        <w:jc w:val="both"/>
      </w:pPr>
      <w:r>
        <w:rPr/>
        <w:t>（四）同目录、同组别均无有效采购上限价制定依据的产品，组织专家根据同类产品功能、性价比等因素确定其采购上限价。</w:t>
      </w:r>
    </w:p>
    <w:p>
      <w:pPr>
        <w:spacing w:after="0" w:line="321" w:lineRule="auto"/>
        <w:jc w:val="both"/>
        <w:sectPr>
          <w:pgSz w:w="11910" w:h="16840"/>
          <w:pgMar w:header="0" w:footer="1302" w:top="1380" w:bottom="1500" w:left="1220" w:right="1160"/>
        </w:sectPr>
      </w:pPr>
    </w:p>
    <w:p>
      <w:pPr>
        <w:pStyle w:val="BodyText"/>
        <w:spacing w:before="29"/>
        <w:ind w:left="1010"/>
      </w:pPr>
      <w:r>
        <w:rPr/>
        <w:t>三、上限价公示公布</w:t>
      </w:r>
    </w:p>
    <w:p>
      <w:pPr>
        <w:pStyle w:val="BodyText"/>
        <w:spacing w:line="321" w:lineRule="auto" w:before="140"/>
        <w:ind w:right="429" w:firstLine="640"/>
        <w:jc w:val="both"/>
      </w:pPr>
      <w:r>
        <w:rPr/>
        <w:t>采购上限价及其制定依据只对具体产品的生产企业公布， </w:t>
      </w:r>
      <w:r>
        <w:rPr>
          <w:w w:val="95"/>
        </w:rPr>
        <w:t>企业可通过市采购与监管平台查询本企业具体产品的上限价， </w:t>
      </w:r>
      <w:r>
        <w:rPr/>
        <w:t>供报价时参考。</w:t>
      </w:r>
    </w:p>
    <w:p>
      <w:pPr>
        <w:pStyle w:val="BodyText"/>
        <w:spacing w:line="321" w:lineRule="auto"/>
        <w:ind w:right="417" w:firstLine="640"/>
        <w:jc w:val="both"/>
      </w:pPr>
      <w:r>
        <w:rPr/>
        <w:t>投标企业对本企业产品上限价有异议的，可在公示期内通过市采购与监管平台提出相关申诉，耗材集中采购办公室组织评审委员会专家核查后予以答复。如无申诉，视同无异议。</w:t>
      </w:r>
    </w:p>
    <w:p>
      <w:pPr>
        <w:pStyle w:val="BodyText"/>
        <w:spacing w:line="321" w:lineRule="auto"/>
        <w:ind w:right="428" w:firstLine="640"/>
        <w:jc w:val="both"/>
      </w:pPr>
      <w:r>
        <w:rPr>
          <w:spacing w:val="1"/>
          <w:w w:val="95"/>
        </w:rPr>
        <w:t>最终结果由耗材集中采购办公室通过市采购与监管平台予 </w:t>
      </w:r>
      <w:r>
        <w:rPr>
          <w:spacing w:val="1"/>
        </w:rPr>
        <w:t>以公布。</w:t>
      </w:r>
    </w:p>
    <w:p>
      <w:pPr>
        <w:pStyle w:val="Heading1"/>
        <w:spacing w:line="485" w:lineRule="exact"/>
        <w:ind w:left="2726"/>
      </w:pPr>
      <w:r>
        <w:rPr>
          <w:color w:val="333333"/>
        </w:rPr>
        <w:t>第六章 企业报名及材料申报</w:t>
      </w:r>
    </w:p>
    <w:p>
      <w:pPr>
        <w:pStyle w:val="BodyText"/>
        <w:spacing w:line="321" w:lineRule="auto" w:before="62"/>
        <w:ind w:right="429" w:firstLine="640"/>
        <w:jc w:val="both"/>
      </w:pPr>
      <w:r>
        <w:rPr/>
        <w:t>本次集中采购只接受国内医用耗材和检验检测试剂生产企</w:t>
      </w:r>
      <w:r>
        <w:rPr>
          <w:w w:val="95"/>
        </w:rPr>
        <w:t>业和进口医用耗材和检验检测试剂国内总代理商的申报，不设 总代理的，只接受一家一级代理商的申报，此代理商所代理的 区域应覆盖全市。同一进口医用耗材和检验检测试剂只能由一 家总代理申报，总代理商代理的产品必须具有国外生产厂家出 </w:t>
      </w:r>
      <w:r>
        <w:rPr/>
        <w:t>具的授权书方可申报。</w:t>
      </w:r>
    </w:p>
    <w:p>
      <w:pPr>
        <w:pStyle w:val="BodyText"/>
        <w:spacing w:line="319" w:lineRule="auto"/>
        <w:ind w:right="433" w:firstLine="640"/>
      </w:pPr>
      <w:r>
        <w:rPr>
          <w:w w:val="95"/>
        </w:rPr>
        <w:t>申报企业只能授权一个自然人参加本次医用耗材和检验检 </w:t>
      </w:r>
      <w:r>
        <w:rPr/>
        <w:t>测试剂集中采购活动，并承担相应法律责任。</w:t>
      </w:r>
    </w:p>
    <w:p>
      <w:pPr>
        <w:pStyle w:val="BodyText"/>
        <w:spacing w:before="5"/>
        <w:ind w:left="1010"/>
      </w:pPr>
      <w:r>
        <w:rPr/>
        <w:t>一、资质条件要求</w:t>
      </w:r>
    </w:p>
    <w:p>
      <w:pPr>
        <w:pStyle w:val="BodyText"/>
        <w:spacing w:before="140"/>
        <w:ind w:left="1010"/>
      </w:pPr>
      <w:r>
        <w:rPr>
          <w:w w:val="95"/>
        </w:rPr>
        <w:t>（一）申报企业的条件要求</w:t>
      </w:r>
    </w:p>
    <w:p>
      <w:pPr>
        <w:pStyle w:val="BodyText"/>
        <w:spacing w:line="321" w:lineRule="auto" w:before="140"/>
        <w:ind w:right="517" w:firstLine="316"/>
      </w:pPr>
      <w:r>
        <w:rPr/>
        <w:t>1、依法取得《医疗器械生产企业许可证》和营业执照；进</w:t>
      </w:r>
      <w:r>
        <w:rPr>
          <w:spacing w:val="-1"/>
        </w:rPr>
        <w:t>口医用耗材和检验检测试剂申报企业必须依法取得《医疗器械</w:t>
      </w:r>
      <w:r>
        <w:rPr/>
        <w:t>经营企业许可证》及营业执照。</w:t>
      </w:r>
    </w:p>
    <w:p>
      <w:pPr>
        <w:spacing w:after="0" w:line="321" w:lineRule="auto"/>
        <w:sectPr>
          <w:pgSz w:w="11910" w:h="16840"/>
          <w:pgMar w:header="0" w:footer="1302" w:top="1380" w:bottom="1500" w:left="1220" w:right="1160"/>
        </w:sectPr>
      </w:pPr>
    </w:p>
    <w:p>
      <w:pPr>
        <w:pStyle w:val="BodyText"/>
        <w:spacing w:line="321" w:lineRule="auto" w:before="29"/>
        <w:ind w:right="518" w:firstLine="645"/>
      </w:pPr>
      <w:r>
        <w:rPr/>
        <w:t>2、信誉良好，具有履行合同必须具备的医用耗材和检验检测试剂生产规模和供应保障能力。采购周期内确保集中采购产品供应和伴随服务。</w:t>
      </w:r>
    </w:p>
    <w:p>
      <w:pPr>
        <w:pStyle w:val="BodyText"/>
        <w:spacing w:line="321" w:lineRule="auto"/>
        <w:ind w:right="518" w:firstLine="645"/>
        <w:jc w:val="both"/>
      </w:pPr>
      <w:r>
        <w:rPr/>
        <w:t>3、2015</w:t>
      </w:r>
      <w:r>
        <w:rPr>
          <w:spacing w:val="-10"/>
        </w:rPr>
        <w:t> 年以来被国家和省卫计委或江苏省公共资源交易中心（江苏省药品集中采购中心）</w:t>
      </w:r>
      <w:r>
        <w:rPr>
          <w:spacing w:val="-11"/>
        </w:rPr>
        <w:t>列入不良记录的，或严重违</w:t>
      </w:r>
      <w:r>
        <w:rPr/>
        <w:t>反上一轮集中采购相关规定的，不得参与本次采购活动。</w:t>
      </w:r>
    </w:p>
    <w:p>
      <w:pPr>
        <w:pStyle w:val="BodyText"/>
        <w:ind w:left="1014"/>
      </w:pPr>
      <w:r>
        <w:rPr/>
        <w:t>4、法律法规规定的其他条件。</w:t>
      </w:r>
    </w:p>
    <w:p>
      <w:pPr>
        <w:pStyle w:val="BodyText"/>
        <w:spacing w:before="136"/>
        <w:ind w:left="1010"/>
      </w:pPr>
      <w:r>
        <w:rPr/>
        <w:t>（二）申报产品资质要求</w:t>
      </w:r>
    </w:p>
    <w:p>
      <w:pPr>
        <w:pStyle w:val="BodyText"/>
        <w:spacing w:before="140"/>
        <w:ind w:left="1010"/>
      </w:pPr>
      <w:r>
        <w:rPr/>
        <w:t>1、申报产品必须具备相应的资质证书；</w:t>
      </w:r>
    </w:p>
    <w:p>
      <w:pPr>
        <w:pStyle w:val="BodyText"/>
        <w:spacing w:line="321" w:lineRule="auto" w:before="140"/>
        <w:ind w:right="421" w:firstLine="640"/>
      </w:pPr>
      <w:r>
        <w:rPr/>
        <w:t>2、2015 年以来国家、省、市食品药品监管部门发布的质量公告所涉及的不合格产品，不得参与本次集中采购活动；</w:t>
      </w:r>
    </w:p>
    <w:p>
      <w:pPr>
        <w:pStyle w:val="BodyText"/>
        <w:ind w:left="1010"/>
      </w:pPr>
      <w:r>
        <w:rPr/>
        <w:t>3、《专机专用试剂目录》只接受仪器原厂生产的产品投标；</w:t>
      </w:r>
    </w:p>
    <w:p>
      <w:pPr>
        <w:pStyle w:val="BodyText"/>
        <w:spacing w:line="321" w:lineRule="auto" w:before="137"/>
        <w:ind w:left="1010" w:right="4195"/>
      </w:pPr>
      <w:r>
        <w:rPr/>
        <w:t>4、法律法规规定的其他条件。二、申报材料</w:t>
      </w:r>
    </w:p>
    <w:p>
      <w:pPr>
        <w:pStyle w:val="BodyText"/>
        <w:spacing w:before="1"/>
      </w:pPr>
      <w:r>
        <w:rPr>
          <w:rFonts w:ascii="仿宋" w:eastAsia="仿宋" w:hint="eastAsia"/>
        </w:rPr>
        <w:t>（</w:t>
      </w:r>
      <w:r>
        <w:rPr/>
        <w:t>一）申报材料格式要求</w:t>
      </w:r>
    </w:p>
    <w:p>
      <w:pPr>
        <w:pStyle w:val="BodyText"/>
        <w:spacing w:line="278" w:lineRule="auto" w:before="68"/>
        <w:ind w:right="426" w:firstLine="640"/>
        <w:jc w:val="both"/>
      </w:pPr>
      <w:r>
        <w:rPr>
          <w:w w:val="95"/>
        </w:rPr>
        <w:t>投标企业须领取账号和密码，通过市药品采购平台网上提 </w:t>
      </w:r>
      <w:r>
        <w:rPr>
          <w:spacing w:val="3"/>
        </w:rPr>
        <w:t>交规定的综合评审标书</w:t>
      </w:r>
      <w:r>
        <w:rPr>
          <w:spacing w:val="4"/>
        </w:rPr>
        <w:t>（</w:t>
      </w:r>
      <w:r>
        <w:rPr/>
        <w:t>投标企业递交资料格式附表详见附件</w:t>
      </w:r>
      <w:r>
        <w:rPr>
          <w:w w:val="98"/>
        </w:rPr>
        <w:t>5</w:t>
      </w:r>
      <w:r>
        <w:rPr>
          <w:w w:val="109"/>
        </w:rPr>
        <w:t>-</w:t>
      </w:r>
      <w:r>
        <w:rPr>
          <w:w w:val="98"/>
        </w:rPr>
        <w:t>1</w:t>
      </w:r>
      <w:r>
        <w:rPr>
          <w:spacing w:val="-48"/>
        </w:rPr>
        <w:t> </w:t>
      </w:r>
      <w:r>
        <w:rPr>
          <w:w w:val="99"/>
        </w:rPr>
        <w:t>至附件</w:t>
      </w:r>
      <w:r>
        <w:rPr>
          <w:spacing w:val="-45"/>
        </w:rPr>
        <w:t> </w:t>
      </w:r>
      <w:r>
        <w:rPr>
          <w:w w:val="98"/>
        </w:rPr>
        <w:t>5</w:t>
      </w:r>
      <w:r>
        <w:rPr>
          <w:w w:val="109"/>
        </w:rPr>
        <w:t>-</w:t>
      </w:r>
      <w:r>
        <w:rPr>
          <w:w w:val="98"/>
        </w:rPr>
        <w:t>5</w:t>
      </w:r>
      <w:r>
        <w:rPr>
          <w:spacing w:val="-161"/>
          <w:w w:val="99"/>
        </w:rPr>
        <w:t>）</w:t>
      </w:r>
      <w:r>
        <w:rPr>
          <w:w w:val="99"/>
        </w:rPr>
        <w:t>，要求申报的资质文件均为扫描件（</w:t>
      </w:r>
      <w:r>
        <w:rPr>
          <w:spacing w:val="-3"/>
          <w:w w:val="99"/>
        </w:rPr>
        <w:t>产品实物</w:t>
      </w:r>
      <w:r>
        <w:rPr/>
        <w:t>近照除外</w:t>
      </w:r>
      <w:r>
        <w:rPr>
          <w:spacing w:val="-161"/>
        </w:rPr>
        <w:t>）</w:t>
      </w:r>
      <w:r>
        <w:rPr>
          <w:spacing w:val="-12"/>
        </w:rPr>
        <w:t>。文件格式为 </w:t>
      </w:r>
      <w:r>
        <w:rPr/>
        <w:t>jpg</w:t>
      </w:r>
      <w:r>
        <w:rPr>
          <w:spacing w:val="-17"/>
        </w:rPr>
        <w:t>，大小在 </w:t>
      </w:r>
      <w:r>
        <w:rPr/>
        <w:t>800k</w:t>
      </w:r>
      <w:r>
        <w:rPr>
          <w:spacing w:val="-22"/>
        </w:rPr>
        <w:t> 以内。</w:t>
      </w:r>
    </w:p>
    <w:p>
      <w:pPr>
        <w:pStyle w:val="BodyText"/>
        <w:spacing w:before="8"/>
      </w:pPr>
      <w:r>
        <w:rPr/>
        <w:t>（二）报名文件</w:t>
      </w:r>
    </w:p>
    <w:p>
      <w:pPr>
        <w:pStyle w:val="BodyText"/>
        <w:spacing w:before="140"/>
        <w:ind w:left="1010"/>
      </w:pPr>
      <w:r>
        <w:rPr/>
        <w:t>1、申报企业申请函及法定代表人授权委托书；</w:t>
      </w:r>
    </w:p>
    <w:p>
      <w:pPr>
        <w:pStyle w:val="BodyText"/>
        <w:spacing w:line="321" w:lineRule="auto" w:before="137"/>
        <w:ind w:right="105" w:firstLine="640"/>
      </w:pPr>
      <w:r>
        <w:rPr>
          <w:spacing w:val="7"/>
          <w:w w:val="95"/>
        </w:rPr>
        <w:t>2</w:t>
      </w:r>
      <w:r>
        <w:rPr>
          <w:spacing w:val="6"/>
          <w:w w:val="95"/>
        </w:rPr>
        <w:t>、申报企业营业执照</w:t>
      </w:r>
      <w:r>
        <w:rPr>
          <w:spacing w:val="7"/>
          <w:w w:val="95"/>
        </w:rPr>
        <w:t>（副本</w:t>
      </w:r>
      <w:r>
        <w:rPr>
          <w:spacing w:val="-154"/>
          <w:w w:val="95"/>
        </w:rPr>
        <w:t>）</w:t>
      </w:r>
      <w:r>
        <w:rPr>
          <w:spacing w:val="7"/>
          <w:w w:val="95"/>
        </w:rPr>
        <w:t>、生产</w:t>
      </w:r>
      <w:r>
        <w:rPr>
          <w:spacing w:val="3"/>
          <w:w w:val="85"/>
        </w:rPr>
        <w:t>/</w:t>
      </w:r>
      <w:r>
        <w:rPr>
          <w:spacing w:val="7"/>
          <w:w w:val="95"/>
        </w:rPr>
        <w:t>经营许可证</w:t>
      </w:r>
      <w:r>
        <w:rPr>
          <w:spacing w:val="4"/>
          <w:w w:val="95"/>
        </w:rPr>
        <w:t>（</w:t>
      </w:r>
      <w:r>
        <w:rPr>
          <w:spacing w:val="7"/>
          <w:w w:val="95"/>
        </w:rPr>
        <w:t>副本</w:t>
      </w:r>
      <w:r>
        <w:rPr>
          <w:spacing w:val="-154"/>
          <w:w w:val="95"/>
        </w:rPr>
        <w:t>）</w:t>
      </w:r>
      <w:r>
        <w:rPr>
          <w:spacing w:val="-13"/>
          <w:w w:val="95"/>
        </w:rPr>
        <w:t>、 </w:t>
      </w:r>
      <w:r>
        <w:rPr/>
        <w:t>组织机构代码证复印件；</w:t>
      </w:r>
    </w:p>
    <w:p>
      <w:pPr>
        <w:pStyle w:val="BodyText"/>
        <w:spacing w:line="321" w:lineRule="auto" w:before="1"/>
        <w:ind w:right="429" w:firstLine="640"/>
      </w:pPr>
      <w:r>
        <w:rPr>
          <w:spacing w:val="9"/>
          <w:w w:val="95"/>
        </w:rPr>
        <w:t>3</w:t>
      </w:r>
      <w:r>
        <w:rPr>
          <w:spacing w:val="8"/>
          <w:w w:val="95"/>
        </w:rPr>
        <w:t>、非实际生产企业申报的须递交销售代理协议或者授权 </w:t>
      </w:r>
      <w:r>
        <w:rPr>
          <w:spacing w:val="8"/>
        </w:rPr>
        <w:t>委托书；</w:t>
      </w:r>
    </w:p>
    <w:p>
      <w:pPr>
        <w:pStyle w:val="BodyText"/>
        <w:ind w:left="1010"/>
      </w:pPr>
      <w:r>
        <w:rPr/>
        <w:t>4、上述报名资质文件（纸质）均需加盖投标企业鲜章。</w:t>
      </w:r>
    </w:p>
    <w:p>
      <w:pPr>
        <w:spacing w:after="0"/>
        <w:sectPr>
          <w:pgSz w:w="11910" w:h="16840"/>
          <w:pgMar w:header="0" w:footer="1302" w:top="1380" w:bottom="1500" w:left="1220" w:right="1160"/>
        </w:sectPr>
      </w:pPr>
    </w:p>
    <w:p>
      <w:pPr>
        <w:pStyle w:val="BodyText"/>
        <w:spacing w:before="29"/>
        <w:ind w:left="1010"/>
      </w:pPr>
      <w:r>
        <w:rPr/>
        <w:t>（三）企业资质文件</w:t>
      </w:r>
    </w:p>
    <w:p>
      <w:pPr>
        <w:pStyle w:val="BodyText"/>
        <w:spacing w:before="140"/>
        <w:ind w:left="1010"/>
      </w:pPr>
      <w:r>
        <w:rPr>
          <w:w w:val="98"/>
        </w:rPr>
        <w:t>1</w:t>
      </w:r>
      <w:r>
        <w:rPr>
          <w:w w:val="99"/>
        </w:rPr>
        <w:t>、工商营业执照</w:t>
      </w:r>
      <w:r>
        <w:rPr>
          <w:spacing w:val="2"/>
          <w:w w:val="99"/>
        </w:rPr>
        <w:t>（</w:t>
      </w:r>
      <w:r>
        <w:rPr>
          <w:spacing w:val="1"/>
          <w:w w:val="99"/>
        </w:rPr>
        <w:t>副本</w:t>
      </w:r>
      <w:r>
        <w:rPr>
          <w:spacing w:val="-161"/>
          <w:w w:val="99"/>
        </w:rPr>
        <w:t>）</w:t>
      </w:r>
      <w:r>
        <w:rPr>
          <w:w w:val="99"/>
        </w:rPr>
        <w:t>；</w:t>
      </w:r>
    </w:p>
    <w:p>
      <w:pPr>
        <w:pStyle w:val="BodyText"/>
        <w:spacing w:before="137"/>
        <w:ind w:left="1010"/>
      </w:pPr>
      <w:r>
        <w:rPr>
          <w:w w:val="98"/>
        </w:rPr>
        <w:t>2</w:t>
      </w:r>
      <w:r>
        <w:rPr>
          <w:w w:val="99"/>
        </w:rPr>
        <w:t>、医疗器械生产许可证</w:t>
      </w:r>
      <w:r>
        <w:rPr>
          <w:spacing w:val="2"/>
          <w:w w:val="99"/>
        </w:rPr>
        <w:t>（</w:t>
      </w:r>
      <w:r>
        <w:rPr>
          <w:spacing w:val="1"/>
          <w:w w:val="99"/>
        </w:rPr>
        <w:t>副本</w:t>
      </w:r>
      <w:r>
        <w:rPr>
          <w:spacing w:val="-161"/>
          <w:w w:val="99"/>
        </w:rPr>
        <w:t>）</w:t>
      </w:r>
      <w:r>
        <w:rPr>
          <w:w w:val="99"/>
        </w:rPr>
        <w:t>；</w:t>
      </w:r>
    </w:p>
    <w:p>
      <w:pPr>
        <w:pStyle w:val="BodyText"/>
        <w:spacing w:before="139"/>
        <w:ind w:left="1010"/>
      </w:pPr>
      <w:r>
        <w:rPr>
          <w:w w:val="98"/>
        </w:rPr>
        <w:t>3</w:t>
      </w:r>
      <w:r>
        <w:rPr>
          <w:w w:val="99"/>
        </w:rPr>
        <w:t>、医疗器械经营许可证</w:t>
      </w:r>
      <w:r>
        <w:rPr>
          <w:spacing w:val="2"/>
          <w:w w:val="99"/>
        </w:rPr>
        <w:t>（</w:t>
      </w:r>
      <w:r>
        <w:rPr>
          <w:spacing w:val="1"/>
          <w:w w:val="99"/>
        </w:rPr>
        <w:t>副本</w:t>
      </w:r>
      <w:r>
        <w:rPr>
          <w:spacing w:val="-161"/>
          <w:w w:val="99"/>
        </w:rPr>
        <w:t>）</w:t>
      </w:r>
      <w:r>
        <w:rPr>
          <w:w w:val="99"/>
        </w:rPr>
        <w:t>；</w:t>
      </w:r>
    </w:p>
    <w:p>
      <w:pPr>
        <w:pStyle w:val="BodyText"/>
        <w:spacing w:before="140"/>
        <w:ind w:left="1010"/>
      </w:pPr>
      <w:r>
        <w:rPr>
          <w:w w:val="98"/>
        </w:rPr>
        <w:t>4</w:t>
      </w:r>
      <w:r>
        <w:rPr>
          <w:w w:val="99"/>
        </w:rPr>
        <w:t>、组织机构代码证（三证合一的企业不需要递交</w:t>
      </w:r>
      <w:r>
        <w:rPr>
          <w:spacing w:val="-161"/>
          <w:w w:val="99"/>
        </w:rPr>
        <w:t>）</w:t>
      </w:r>
      <w:r>
        <w:rPr>
          <w:w w:val="99"/>
        </w:rPr>
        <w:t>；</w:t>
      </w:r>
    </w:p>
    <w:p>
      <w:pPr>
        <w:pStyle w:val="BodyText"/>
        <w:spacing w:before="139"/>
        <w:ind w:left="1010"/>
      </w:pPr>
      <w:r>
        <w:rPr/>
        <w:t>5、国（境）外生产企业产品销售代理协议；</w:t>
      </w:r>
    </w:p>
    <w:p>
      <w:pPr>
        <w:pStyle w:val="BodyText"/>
        <w:spacing w:before="140"/>
        <w:ind w:left="1010"/>
      </w:pPr>
      <w:r>
        <w:rPr/>
        <w:t>6、产品保证供应承诺书；</w:t>
      </w:r>
    </w:p>
    <w:p>
      <w:pPr>
        <w:pStyle w:val="BodyText"/>
        <w:spacing w:before="138"/>
        <w:ind w:left="1010"/>
      </w:pPr>
      <w:r>
        <w:rPr/>
        <w:t>7、申报企业产品质量、货源及售后服务保证书。</w:t>
      </w:r>
    </w:p>
    <w:p>
      <w:pPr>
        <w:pStyle w:val="BodyText"/>
        <w:spacing w:before="140"/>
        <w:ind w:left="1010"/>
      </w:pPr>
      <w:r>
        <w:rPr/>
        <w:t>（四）产品资质文件</w:t>
      </w:r>
    </w:p>
    <w:p>
      <w:pPr>
        <w:pStyle w:val="BodyText"/>
        <w:spacing w:before="139"/>
        <w:ind w:left="1010"/>
      </w:pPr>
      <w:r>
        <w:rPr/>
        <w:t>1、《医疗器械注册证》及附页；</w:t>
      </w:r>
    </w:p>
    <w:p>
      <w:pPr>
        <w:pStyle w:val="BodyText"/>
        <w:spacing w:before="140"/>
        <w:ind w:left="1010"/>
      </w:pPr>
      <w:r>
        <w:rPr/>
        <w:t>2、产品说明书扫描件及近距实物照片；</w:t>
      </w:r>
    </w:p>
    <w:p>
      <w:pPr>
        <w:pStyle w:val="BodyText"/>
        <w:spacing w:before="139"/>
        <w:ind w:left="1010"/>
      </w:pPr>
      <w:r>
        <w:rPr>
          <w:w w:val="98"/>
        </w:rPr>
        <w:t>3</w:t>
      </w:r>
      <w:r>
        <w:rPr>
          <w:w w:val="99"/>
        </w:rPr>
        <w:t>、产品价格信息文件（具体价格填报要求见第五章</w:t>
      </w:r>
      <w:r>
        <w:rPr>
          <w:spacing w:val="-161"/>
          <w:w w:val="99"/>
        </w:rPr>
        <w:t>）</w:t>
      </w:r>
      <w:r>
        <w:rPr>
          <w:w w:val="99"/>
        </w:rPr>
        <w:t>；</w:t>
      </w:r>
    </w:p>
    <w:p>
      <w:pPr>
        <w:pStyle w:val="BodyText"/>
        <w:spacing w:before="138"/>
        <w:ind w:left="1010"/>
      </w:pPr>
      <w:r>
        <w:rPr/>
        <w:t>4、2015 年以来产品检测报告；</w:t>
      </w:r>
    </w:p>
    <w:p>
      <w:pPr>
        <w:pStyle w:val="BodyText"/>
        <w:spacing w:line="321" w:lineRule="auto" w:before="140"/>
        <w:ind w:right="421" w:firstLine="640"/>
      </w:pPr>
      <w:r>
        <w:rPr/>
        <w:t>5、2015 年以来产品在江苏省辖市、外省及外省城市中标情况等资格证明文件；</w:t>
      </w:r>
    </w:p>
    <w:p>
      <w:pPr>
        <w:pStyle w:val="BodyText"/>
        <w:spacing w:line="321" w:lineRule="auto"/>
        <w:ind w:right="423" w:firstLine="640"/>
      </w:pPr>
      <w:r>
        <w:rPr>
          <w:w w:val="105"/>
        </w:rPr>
        <w:t>6</w:t>
      </w:r>
      <w:r>
        <w:rPr>
          <w:spacing w:val="-13"/>
          <w:w w:val="105"/>
        </w:rPr>
        <w:t>、通过美国 </w:t>
      </w:r>
      <w:r>
        <w:rPr>
          <w:w w:val="105"/>
        </w:rPr>
        <w:t>FDA</w:t>
      </w:r>
      <w:r>
        <w:rPr>
          <w:spacing w:val="-23"/>
          <w:w w:val="105"/>
        </w:rPr>
        <w:t> 认证、欧盟 </w:t>
      </w:r>
      <w:r>
        <w:rPr>
          <w:w w:val="105"/>
        </w:rPr>
        <w:t>CE</w:t>
      </w:r>
      <w:r>
        <w:rPr>
          <w:spacing w:val="-10"/>
          <w:w w:val="105"/>
        </w:rPr>
        <w:t> 认证的产品，须提供美</w:t>
      </w:r>
      <w:r>
        <w:rPr>
          <w:spacing w:val="-48"/>
          <w:w w:val="105"/>
        </w:rPr>
        <w:t>国 </w:t>
      </w:r>
      <w:r>
        <w:rPr>
          <w:w w:val="105"/>
        </w:rPr>
        <w:t>FDA</w:t>
      </w:r>
      <w:r>
        <w:rPr>
          <w:spacing w:val="-24"/>
          <w:w w:val="105"/>
        </w:rPr>
        <w:t>、欧盟 </w:t>
      </w:r>
      <w:r>
        <w:rPr>
          <w:w w:val="105"/>
        </w:rPr>
        <w:t>CE</w:t>
      </w:r>
      <w:r>
        <w:rPr>
          <w:spacing w:val="-11"/>
          <w:w w:val="105"/>
        </w:rPr>
        <w:t> 认证相关证明及有效中文翻译件；</w:t>
      </w:r>
    </w:p>
    <w:p>
      <w:pPr>
        <w:pStyle w:val="BodyText"/>
        <w:spacing w:line="321" w:lineRule="auto"/>
        <w:ind w:right="423" w:firstLine="640"/>
        <w:jc w:val="both"/>
      </w:pPr>
      <w:r>
        <w:rPr>
          <w:spacing w:val="9"/>
          <w:w w:val="95"/>
        </w:rPr>
        <w:t>7</w:t>
      </w:r>
      <w:r>
        <w:rPr>
          <w:spacing w:val="8"/>
          <w:w w:val="95"/>
        </w:rPr>
        <w:t>、其它相关文件材料，如产品发明专利、新型专利、设 </w:t>
      </w:r>
      <w:r>
        <w:rPr>
          <w:spacing w:val="4"/>
        </w:rPr>
        <w:t>计专利证明文件；省级及以上奖励证书</w:t>
      </w:r>
      <w:r>
        <w:rPr>
          <w:spacing w:val="7"/>
        </w:rPr>
        <w:t>（</w:t>
      </w:r>
      <w:r>
        <w:rPr>
          <w:spacing w:val="-4"/>
        </w:rPr>
        <w:t>指 </w:t>
      </w:r>
      <w:r>
        <w:rPr/>
        <w:t>2005 年以来获得国家级自然科学或科技进步二等奖以下及以上、省科学技术一等奖及以上奖项的产品，奖项内容与质量相关）等。</w:t>
      </w:r>
    </w:p>
    <w:p>
      <w:pPr>
        <w:pStyle w:val="BodyText"/>
        <w:ind w:left="1010"/>
      </w:pPr>
      <w:r>
        <w:rPr/>
        <w:t>三、材料说明</w:t>
      </w:r>
    </w:p>
    <w:p>
      <w:pPr>
        <w:pStyle w:val="BodyText"/>
        <w:spacing w:line="321" w:lineRule="auto" w:before="136"/>
        <w:ind w:right="518" w:firstLine="640"/>
      </w:pPr>
      <w:r>
        <w:rPr/>
        <w:t>申报资料必须按照相关填报说明填写、上传，并符合以下要求：</w:t>
      </w:r>
    </w:p>
    <w:p>
      <w:pPr>
        <w:spacing w:after="0" w:line="321" w:lineRule="auto"/>
        <w:sectPr>
          <w:pgSz w:w="11910" w:h="16840"/>
          <w:pgMar w:header="0" w:footer="1302" w:top="1380" w:bottom="1500" w:left="1220" w:right="1160"/>
        </w:sectPr>
      </w:pPr>
    </w:p>
    <w:p>
      <w:pPr>
        <w:pStyle w:val="BodyText"/>
        <w:spacing w:before="29"/>
        <w:ind w:left="1010"/>
      </w:pPr>
      <w:r>
        <w:rPr/>
        <w:t>1、所有申报材料及网上填报信息必须真实、有效，符合</w:t>
      </w:r>
    </w:p>
    <w:p>
      <w:pPr>
        <w:pStyle w:val="BodyText"/>
        <w:spacing w:before="140"/>
      </w:pPr>
      <w:r>
        <w:rPr/>
        <w:t>采购文件要求，特别是填报的规格型号等信息要与注册证相符；</w:t>
      </w:r>
    </w:p>
    <w:p>
      <w:pPr>
        <w:pStyle w:val="BodyText"/>
        <w:spacing w:before="137"/>
        <w:ind w:left="1010"/>
      </w:pPr>
      <w:r>
        <w:rPr/>
        <w:t>2、上传的资格证明材料必须清晰、明确。</w:t>
      </w:r>
    </w:p>
    <w:p>
      <w:pPr>
        <w:pStyle w:val="BodyText"/>
        <w:spacing w:line="321" w:lineRule="auto" w:before="139"/>
        <w:ind w:right="518" w:firstLine="640"/>
      </w:pPr>
      <w:r>
        <w:rPr/>
        <w:t>3、生产经营企业提交的所有文件材料及往来函电均使用中文，外文资料必须提供相应的中文翻译公证件或加盖翻译公司印章，真实性、合法性由企业负责。</w:t>
      </w:r>
    </w:p>
    <w:p>
      <w:pPr>
        <w:pStyle w:val="BodyText"/>
        <w:spacing w:line="321" w:lineRule="auto" w:before="1"/>
        <w:ind w:right="518" w:firstLine="640"/>
      </w:pPr>
      <w:r>
        <w:rPr/>
        <w:t>4、申报人准备材料时应注意所有证照的有效期限，同一产品的所有材料上的生产企业名称应一致，如不一致，应上传相关的关系证明文件；</w:t>
      </w:r>
    </w:p>
    <w:p>
      <w:pPr>
        <w:pStyle w:val="BodyText"/>
        <w:spacing w:line="409" w:lineRule="exact"/>
        <w:ind w:left="1002"/>
      </w:pPr>
      <w:r>
        <w:rPr/>
        <w:t>5、如需申报企业提供纸质材料时，应符合以下要求：</w:t>
      </w:r>
    </w:p>
    <w:p>
      <w:pPr>
        <w:pStyle w:val="ListParagraph"/>
        <w:numPr>
          <w:ilvl w:val="0"/>
          <w:numId w:val="1"/>
        </w:numPr>
        <w:tabs>
          <w:tab w:pos="1722" w:val="left" w:leader="none"/>
        </w:tabs>
        <w:spacing w:line="240" w:lineRule="auto" w:before="139" w:after="0"/>
        <w:ind w:left="1721" w:right="0" w:hanging="800"/>
        <w:jc w:val="left"/>
        <w:rPr>
          <w:sz w:val="32"/>
        </w:rPr>
      </w:pPr>
      <w:r>
        <w:rPr>
          <w:spacing w:val="-9"/>
          <w:sz w:val="32"/>
        </w:rPr>
        <w:t>递交资料统一使用 </w:t>
      </w:r>
      <w:r>
        <w:rPr>
          <w:sz w:val="32"/>
        </w:rPr>
        <w:t>A4</w:t>
      </w:r>
      <w:r>
        <w:rPr>
          <w:spacing w:val="-21"/>
          <w:sz w:val="32"/>
        </w:rPr>
        <w:t> 纸张；</w:t>
      </w:r>
    </w:p>
    <w:p>
      <w:pPr>
        <w:pStyle w:val="ListParagraph"/>
        <w:numPr>
          <w:ilvl w:val="0"/>
          <w:numId w:val="1"/>
        </w:numPr>
        <w:tabs>
          <w:tab w:pos="1722" w:val="left" w:leader="none"/>
        </w:tabs>
        <w:spacing w:line="240" w:lineRule="auto" w:before="140" w:after="0"/>
        <w:ind w:left="1721" w:right="0" w:hanging="800"/>
        <w:jc w:val="left"/>
        <w:rPr>
          <w:sz w:val="32"/>
        </w:rPr>
      </w:pPr>
      <w:r>
        <w:rPr>
          <w:sz w:val="32"/>
        </w:rPr>
        <w:t>递交材料应当逐页加盖单位鲜章。</w:t>
      </w:r>
    </w:p>
    <w:p>
      <w:pPr>
        <w:pStyle w:val="BodyText"/>
        <w:spacing w:line="321" w:lineRule="auto" w:before="137"/>
        <w:ind w:right="648" w:firstLine="633"/>
      </w:pPr>
      <w:r>
        <w:rPr/>
        <w:t>6、未按时、按规定上传企业或产品信息的，按企业自动放弃处理。</w:t>
      </w:r>
    </w:p>
    <w:p>
      <w:pPr>
        <w:pStyle w:val="BodyText"/>
        <w:spacing w:line="321" w:lineRule="auto" w:before="1"/>
        <w:ind w:right="518" w:firstLine="633"/>
      </w:pPr>
      <w:r>
        <w:rPr/>
        <w:t>7、申报人报名及申报材料递交时间、地点和要求以徐州市公共资源交易中心网站、徐州市卫生计生委网站公告、通知为准。</w:t>
      </w:r>
    </w:p>
    <w:p>
      <w:pPr>
        <w:pStyle w:val="BodyText"/>
        <w:spacing w:line="408" w:lineRule="exact"/>
        <w:ind w:left="1010"/>
      </w:pPr>
      <w:r>
        <w:rPr/>
        <w:t>四、申报材料修改和撤回</w:t>
      </w:r>
    </w:p>
    <w:p>
      <w:pPr>
        <w:pStyle w:val="BodyText"/>
        <w:spacing w:line="321" w:lineRule="auto" w:before="140"/>
        <w:ind w:right="110" w:firstLine="640"/>
      </w:pPr>
      <w:r>
        <w:rPr>
          <w:w w:val="95"/>
        </w:rPr>
        <w:t>申报人在规定的截止时间前可补充、修改或撤回申报材料， </w:t>
      </w:r>
      <w:r>
        <w:rPr/>
        <w:t>补充、修改的内容为申报材料的组成部分。在规定的截止时间 后，申报人不得对其申报材料做修改和补充。</w:t>
      </w:r>
    </w:p>
    <w:p>
      <w:pPr>
        <w:pStyle w:val="BodyText"/>
        <w:spacing w:before="1"/>
        <w:ind w:left="1010"/>
      </w:pPr>
      <w:r>
        <w:rPr/>
        <w:t>五、申报材料审核及公示</w:t>
      </w:r>
    </w:p>
    <w:p>
      <w:pPr>
        <w:pStyle w:val="BodyText"/>
        <w:spacing w:line="321" w:lineRule="auto" w:before="137"/>
        <w:ind w:right="677" w:firstLine="640"/>
      </w:pPr>
      <w:r>
        <w:rPr/>
        <w:t>1、服务机构负责受理申报材料，并在市工商、食药监局指导下对企业申报材料的完整性、表面真实性进行审核。</w:t>
      </w:r>
    </w:p>
    <w:p>
      <w:pPr>
        <w:spacing w:after="0" w:line="321" w:lineRule="auto"/>
        <w:sectPr>
          <w:pgSz w:w="11910" w:h="16840"/>
          <w:pgMar w:header="0" w:footer="1302" w:top="1380" w:bottom="1500" w:left="1220" w:right="1160"/>
        </w:sectPr>
      </w:pPr>
    </w:p>
    <w:p>
      <w:pPr>
        <w:pStyle w:val="BodyText"/>
        <w:spacing w:line="321" w:lineRule="auto" w:before="29"/>
        <w:ind w:right="108" w:firstLine="640"/>
      </w:pPr>
      <w:r>
        <w:rPr>
          <w:spacing w:val="9"/>
          <w:w w:val="95"/>
        </w:rPr>
        <w:t>2</w:t>
      </w:r>
      <w:r>
        <w:rPr>
          <w:spacing w:val="8"/>
          <w:w w:val="95"/>
        </w:rPr>
        <w:t>、申报企业对所提供的申报材料的真实性、合法性负责。 </w:t>
      </w:r>
      <w:r>
        <w:rPr>
          <w:spacing w:val="8"/>
        </w:rPr>
        <w:t>申报人提供虚假证明文件的，一经核实，市耗材集中采购办公 室有权取消其资格，情况严重的，两年内不接受其申报，并按 相关规定处理。</w:t>
      </w:r>
    </w:p>
    <w:p>
      <w:pPr>
        <w:pStyle w:val="BodyText"/>
        <w:spacing w:line="321" w:lineRule="auto"/>
        <w:ind w:right="108" w:firstLine="640"/>
      </w:pPr>
      <w:r>
        <w:rPr>
          <w:spacing w:val="9"/>
          <w:w w:val="95"/>
        </w:rPr>
        <w:t>3</w:t>
      </w:r>
      <w:r>
        <w:rPr>
          <w:spacing w:val="8"/>
          <w:w w:val="95"/>
        </w:rPr>
        <w:t>、中介机构将审核结果汇总后报市耗材集中采购办公室， </w:t>
      </w:r>
      <w:r>
        <w:rPr>
          <w:spacing w:val="8"/>
        </w:rPr>
        <w:t>经审定后，网上公示，并接受网上咨询和申诉。</w:t>
      </w:r>
    </w:p>
    <w:p>
      <w:pPr>
        <w:pStyle w:val="BodyText"/>
        <w:spacing w:line="321" w:lineRule="auto"/>
        <w:ind w:left="1010" w:right="111"/>
      </w:pPr>
      <w:r>
        <w:rPr>
          <w:spacing w:val="9"/>
          <w:w w:val="95"/>
        </w:rPr>
        <w:t>4</w:t>
      </w:r>
      <w:r>
        <w:rPr>
          <w:spacing w:val="8"/>
          <w:w w:val="95"/>
        </w:rPr>
        <w:t>、通过资格审核的申报企业及其产品方可进入下一流程。 </w:t>
      </w:r>
      <w:r>
        <w:rPr>
          <w:spacing w:val="8"/>
        </w:rPr>
        <w:t>六、申投诉管理</w:t>
      </w:r>
    </w:p>
    <w:p>
      <w:pPr>
        <w:pStyle w:val="BodyText"/>
        <w:spacing w:line="321" w:lineRule="auto"/>
        <w:ind w:right="679" w:firstLine="479"/>
      </w:pPr>
      <w:r>
        <w:rPr>
          <w:spacing w:val="-1"/>
        </w:rPr>
        <w:t>各工作阶段申投诉均通过申投诉系统在规定时间内递交， </w:t>
      </w:r>
      <w:r>
        <w:rPr/>
        <w:t>服务机构梳理，专家团队核查后予以回复。</w:t>
      </w:r>
    </w:p>
    <w:p>
      <w:pPr>
        <w:pStyle w:val="Heading1"/>
        <w:ind w:left="3048"/>
      </w:pPr>
      <w:r>
        <w:rPr>
          <w:spacing w:val="4"/>
        </w:rPr>
        <w:t>第七章 企业报价和解密</w:t>
      </w:r>
    </w:p>
    <w:p>
      <w:pPr>
        <w:pStyle w:val="BodyText"/>
        <w:spacing w:before="59"/>
        <w:ind w:left="1010"/>
      </w:pPr>
      <w:r>
        <w:rPr/>
        <w:t>一、产品报价</w:t>
      </w:r>
    </w:p>
    <w:p>
      <w:pPr>
        <w:pStyle w:val="BodyText"/>
        <w:spacing w:line="321" w:lineRule="auto" w:before="138"/>
        <w:ind w:right="518" w:firstLine="640"/>
        <w:jc w:val="both"/>
      </w:pPr>
      <w:r>
        <w:rPr>
          <w:spacing w:val="-1"/>
        </w:rPr>
        <w:t>投标企业通过市采购与监管平台，在规定时间内对其产品进行网上电子报价，不报价的视为放弃。报价是医疗卫生机构的拟付款价，报价以平台系统中产品信息中的“单位”字段下</w:t>
      </w:r>
      <w:r>
        <w:rPr/>
        <w:t>显示的单位进行报价，报价以人民币元为最小单位（</w:t>
      </w:r>
      <w:r>
        <w:rPr>
          <w:spacing w:val="-4"/>
        </w:rPr>
        <w:t>最小至小</w:t>
      </w:r>
      <w:r>
        <w:rPr/>
        <w:t>数点后四位</w:t>
      </w:r>
      <w:r>
        <w:rPr>
          <w:spacing w:val="-159"/>
        </w:rPr>
        <w:t>）</w:t>
      </w:r>
      <w:r>
        <w:rPr/>
        <w:t>。报价高于上限价的视为无效报价。</w:t>
      </w:r>
    </w:p>
    <w:p>
      <w:pPr>
        <w:pStyle w:val="BodyText"/>
        <w:spacing w:line="409" w:lineRule="exact"/>
        <w:ind w:left="1010"/>
      </w:pPr>
      <w:r>
        <w:rPr/>
        <w:t>二、公布报价结果</w:t>
      </w:r>
    </w:p>
    <w:p>
      <w:pPr>
        <w:pStyle w:val="BodyText"/>
        <w:spacing w:line="321" w:lineRule="auto" w:before="139"/>
        <w:ind w:right="110" w:firstLine="640"/>
      </w:pPr>
      <w:r>
        <w:rPr>
          <w:w w:val="95"/>
        </w:rPr>
        <w:t>在经济技术标评审结束后，投标企业采用远程解密的方式， </w:t>
      </w:r>
      <w:r>
        <w:rPr/>
        <w:t>对报价进行解密，报价结果将予以公布。在规定时间内未解密 报价的，视为无效报价。</w:t>
      </w:r>
    </w:p>
    <w:p>
      <w:pPr>
        <w:pStyle w:val="BodyText"/>
        <w:spacing w:before="10"/>
        <w:ind w:left="0"/>
        <w:rPr>
          <w:sz w:val="34"/>
        </w:rPr>
      </w:pPr>
    </w:p>
    <w:p>
      <w:pPr>
        <w:pStyle w:val="Heading1"/>
        <w:spacing w:line="240" w:lineRule="auto" w:before="1"/>
        <w:ind w:left="527" w:right="580"/>
        <w:jc w:val="center"/>
      </w:pPr>
      <w:r>
        <w:rPr/>
        <w:t>第八章 评审</w:t>
      </w:r>
    </w:p>
    <w:p>
      <w:pPr>
        <w:pStyle w:val="BodyText"/>
        <w:spacing w:before="3"/>
        <w:ind w:left="0"/>
        <w:rPr>
          <w:rFonts w:ascii="微软雅黑"/>
          <w:b/>
          <w:sz w:val="33"/>
        </w:rPr>
      </w:pPr>
    </w:p>
    <w:p>
      <w:pPr>
        <w:pStyle w:val="BodyText"/>
        <w:ind w:left="995"/>
      </w:pPr>
      <w:r>
        <w:rPr/>
        <w:t>一、评审分组</w:t>
      </w:r>
    </w:p>
    <w:p>
      <w:pPr>
        <w:spacing w:after="0"/>
        <w:sectPr>
          <w:pgSz w:w="11910" w:h="16840"/>
          <w:pgMar w:header="0" w:footer="1302" w:top="1380" w:bottom="1500" w:left="1220" w:right="1160"/>
        </w:sectPr>
      </w:pPr>
    </w:p>
    <w:p>
      <w:pPr>
        <w:pStyle w:val="BodyText"/>
        <w:spacing w:line="321" w:lineRule="auto" w:before="29"/>
        <w:ind w:right="518" w:firstLine="640"/>
        <w:jc w:val="both"/>
      </w:pPr>
      <w:r>
        <w:rPr/>
        <w:t>根据医疗卫生单位临床诊疗过程中对产品的不同需求，依据投标企业递交的相关资格、资质证明材料将投标产品划分为两个组分别进行评审，分别确定每个组别的入围产品：</w:t>
      </w:r>
    </w:p>
    <w:p>
      <w:pPr>
        <w:pStyle w:val="BodyText"/>
        <w:spacing w:line="321" w:lineRule="auto"/>
        <w:ind w:right="518" w:firstLine="640"/>
        <w:jc w:val="both"/>
      </w:pPr>
      <w:r>
        <w:rPr/>
        <w:t>第一组：进口产品（</w:t>
      </w:r>
      <w:r>
        <w:rPr>
          <w:spacing w:val="-1"/>
        </w:rPr>
        <w:t>港、澳、台取得“许”字号注册证的</w:t>
      </w:r>
      <w:r>
        <w:rPr/>
        <w:t>产品归为进口产品</w:t>
      </w:r>
      <w:r>
        <w:rPr>
          <w:spacing w:val="-161"/>
        </w:rPr>
        <w:t>）</w:t>
      </w:r>
      <w:r>
        <w:rPr/>
        <w:t>。</w:t>
      </w:r>
    </w:p>
    <w:p>
      <w:pPr>
        <w:pStyle w:val="BodyText"/>
        <w:spacing w:line="321" w:lineRule="auto"/>
        <w:ind w:left="1010" w:right="5634"/>
      </w:pPr>
      <w:r>
        <w:rPr/>
        <w:t>第二组：国产产品。二、评审组织</w:t>
      </w:r>
    </w:p>
    <w:p>
      <w:pPr>
        <w:pStyle w:val="BodyText"/>
        <w:spacing w:line="321" w:lineRule="auto"/>
        <w:ind w:right="513" w:firstLine="640"/>
        <w:jc w:val="both"/>
      </w:pPr>
      <w:r>
        <w:rPr/>
        <w:t>医用耗材和检验检测试剂的评审由评审委员会负责。评审委员会根据医用耗材和检验检测试剂专业分类分别成立相应专家评审组。专家评审组由评审监督委员会按规定程序，在专家库中随机分类抽取临床医学、医疗器械管理、物价、食药监、医保和采购管理等方面的专家组成，在安全、封闭、保密的情</w:t>
      </w:r>
      <w:r>
        <w:rPr>
          <w:spacing w:val="-4"/>
        </w:rPr>
        <w:t>况下进行评审。抽取的专家人数应为单数，每组不少于 </w:t>
      </w:r>
      <w:r>
        <w:rPr/>
        <w:t>7</w:t>
      </w:r>
      <w:r>
        <w:rPr>
          <w:spacing w:val="-33"/>
        </w:rPr>
        <w:t> 人， </w:t>
      </w:r>
      <w:r>
        <w:rPr/>
        <w:t>其中临床医学专家应为评审产品所涉及学科的专家，且不少于</w:t>
      </w:r>
    </w:p>
    <w:p>
      <w:pPr>
        <w:pStyle w:val="BodyText"/>
        <w:spacing w:line="321" w:lineRule="auto"/>
        <w:ind w:right="112"/>
      </w:pPr>
      <w:r>
        <w:rPr/>
        <w:t>5 人。评审专家应客观公正地提出评审意见，承担相应的责任， 并主动回避参加与本人有利害关系的医用耗材和检验检测试剂 评审工作。</w:t>
      </w:r>
    </w:p>
    <w:p>
      <w:pPr>
        <w:pStyle w:val="BodyText"/>
        <w:spacing w:line="408" w:lineRule="exact"/>
        <w:ind w:left="1010"/>
      </w:pPr>
      <w:r>
        <w:rPr/>
        <w:t>三、综合评审</w:t>
      </w:r>
    </w:p>
    <w:p>
      <w:pPr>
        <w:pStyle w:val="BodyText"/>
        <w:spacing w:before="136"/>
        <w:ind w:left="1010"/>
      </w:pPr>
      <w:r>
        <w:rPr/>
        <w:t>综合评审分三阶段进行。</w:t>
      </w:r>
    </w:p>
    <w:p>
      <w:pPr>
        <w:pStyle w:val="BodyText"/>
        <w:spacing w:before="140"/>
        <w:ind w:left="1010"/>
      </w:pPr>
      <w:r>
        <w:rPr/>
        <w:t>（一）经济技术评审 60 分（经济技术评审指标表见附件</w:t>
      </w:r>
    </w:p>
    <w:p>
      <w:pPr>
        <w:pStyle w:val="BodyText"/>
        <w:spacing w:line="321" w:lineRule="auto" w:before="140"/>
        <w:ind w:right="518"/>
        <w:jc w:val="both"/>
      </w:pPr>
      <w:r>
        <w:rPr>
          <w:w w:val="98"/>
        </w:rPr>
        <w:t>4</w:t>
      </w:r>
      <w:r>
        <w:rPr>
          <w:spacing w:val="-159"/>
          <w:w w:val="99"/>
        </w:rPr>
        <w:t>）</w:t>
      </w:r>
      <w:r>
        <w:rPr>
          <w:spacing w:val="-1"/>
          <w:w w:val="99"/>
        </w:rPr>
        <w:t>。其中主要包括市场覆盖、产品可靠性、专利证书、产品质</w:t>
      </w:r>
      <w:r>
        <w:rPr>
          <w:spacing w:val="-9"/>
        </w:rPr>
        <w:t>量等客观指标分值 </w:t>
      </w:r>
      <w:r>
        <w:rPr/>
        <w:t>45</w:t>
      </w:r>
      <w:r>
        <w:rPr>
          <w:spacing w:val="-16"/>
        </w:rPr>
        <w:t> 分，临床效果评价主观分值 </w:t>
      </w:r>
      <w:r>
        <w:rPr/>
        <w:t>15</w:t>
      </w:r>
      <w:r>
        <w:rPr>
          <w:spacing w:val="-20"/>
        </w:rPr>
        <w:t> 分。为满</w:t>
      </w:r>
      <w:r>
        <w:rPr>
          <w:spacing w:val="-1"/>
        </w:rPr>
        <w:t>足临床使用需求，保证品牌系列的完整性，将同一个生产企业同一采购产品目录下的不同规格组合成商品包，按照商品包评</w:t>
      </w:r>
    </w:p>
    <w:p>
      <w:pPr>
        <w:spacing w:after="0" w:line="321" w:lineRule="auto"/>
        <w:jc w:val="both"/>
        <w:sectPr>
          <w:pgSz w:w="11910" w:h="16840"/>
          <w:pgMar w:header="0" w:footer="1302" w:top="1380" w:bottom="1500" w:left="1220" w:right="1160"/>
        </w:sectPr>
      </w:pPr>
    </w:p>
    <w:p>
      <w:pPr>
        <w:pStyle w:val="BodyText"/>
        <w:spacing w:line="321" w:lineRule="auto" w:before="29"/>
        <w:ind w:right="516"/>
      </w:pPr>
      <w:r>
        <w:rPr/>
        <w:t>审得分高低，骨科产品按照组套目录评审得分高低，确定经济技术评审入围产品。入围规则如下：</w:t>
      </w:r>
    </w:p>
    <w:tbl>
      <w:tblPr>
        <w:tblW w:w="0" w:type="auto"/>
        <w:jc w:val="left"/>
        <w:tblInd w:w="1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21"/>
        <w:gridCol w:w="2127"/>
        <w:gridCol w:w="1614"/>
      </w:tblGrid>
      <w:tr>
        <w:trPr>
          <w:trHeight w:val="397" w:hRule="atLeast"/>
        </w:trPr>
        <w:tc>
          <w:tcPr>
            <w:tcW w:w="2521" w:type="dxa"/>
            <w:vMerge w:val="restart"/>
          </w:tcPr>
          <w:p>
            <w:pPr>
              <w:pStyle w:val="TableParagraph"/>
              <w:spacing w:line="280" w:lineRule="auto" w:before="28"/>
              <w:ind w:left="710" w:right="586" w:hanging="111"/>
              <w:jc w:val="left"/>
              <w:rPr>
                <w:sz w:val="22"/>
              </w:rPr>
            </w:pPr>
            <w:r>
              <w:rPr>
                <w:sz w:val="22"/>
              </w:rPr>
              <w:t>经济技术评审商品包个数</w:t>
            </w:r>
          </w:p>
        </w:tc>
        <w:tc>
          <w:tcPr>
            <w:tcW w:w="3741" w:type="dxa"/>
            <w:gridSpan w:val="2"/>
          </w:tcPr>
          <w:p>
            <w:pPr>
              <w:pStyle w:val="TableParagraph"/>
              <w:spacing w:before="23"/>
              <w:ind w:left="767"/>
              <w:jc w:val="left"/>
              <w:rPr>
                <w:sz w:val="22"/>
              </w:rPr>
            </w:pPr>
            <w:r>
              <w:rPr>
                <w:sz w:val="22"/>
              </w:rPr>
              <w:t>进入综合评审产品个数</w:t>
            </w:r>
          </w:p>
        </w:tc>
      </w:tr>
      <w:tr>
        <w:trPr>
          <w:trHeight w:val="328" w:hRule="atLeast"/>
        </w:trPr>
        <w:tc>
          <w:tcPr>
            <w:tcW w:w="2521" w:type="dxa"/>
            <w:vMerge/>
            <w:tcBorders>
              <w:top w:val="nil"/>
            </w:tcBorders>
          </w:tcPr>
          <w:p>
            <w:pPr>
              <w:rPr>
                <w:sz w:val="2"/>
                <w:szCs w:val="2"/>
              </w:rPr>
            </w:pPr>
          </w:p>
        </w:tc>
        <w:tc>
          <w:tcPr>
            <w:tcW w:w="2127" w:type="dxa"/>
          </w:tcPr>
          <w:p>
            <w:pPr>
              <w:pStyle w:val="TableParagraph"/>
              <w:spacing w:line="269" w:lineRule="exact"/>
              <w:ind w:left="603" w:right="594"/>
              <w:rPr>
                <w:sz w:val="22"/>
              </w:rPr>
            </w:pPr>
            <w:r>
              <w:rPr>
                <w:sz w:val="22"/>
              </w:rPr>
              <w:t>进口</w:t>
            </w:r>
          </w:p>
        </w:tc>
        <w:tc>
          <w:tcPr>
            <w:tcW w:w="1614" w:type="dxa"/>
          </w:tcPr>
          <w:p>
            <w:pPr>
              <w:pStyle w:val="TableParagraph"/>
              <w:spacing w:line="269" w:lineRule="exact"/>
              <w:ind w:left="343" w:right="340"/>
              <w:rPr>
                <w:sz w:val="22"/>
              </w:rPr>
            </w:pPr>
            <w:r>
              <w:rPr>
                <w:sz w:val="22"/>
              </w:rPr>
              <w:t>国产</w:t>
            </w:r>
          </w:p>
        </w:tc>
      </w:tr>
      <w:tr>
        <w:trPr>
          <w:trHeight w:val="395" w:hRule="atLeast"/>
        </w:trPr>
        <w:tc>
          <w:tcPr>
            <w:tcW w:w="2521" w:type="dxa"/>
          </w:tcPr>
          <w:p>
            <w:pPr>
              <w:pStyle w:val="TableParagraph"/>
              <w:spacing w:before="21"/>
              <w:ind w:left="965" w:right="956"/>
              <w:rPr>
                <w:sz w:val="22"/>
              </w:rPr>
            </w:pPr>
            <w:r>
              <w:rPr>
                <w:sz w:val="22"/>
              </w:rPr>
              <w:t>1-4</w:t>
            </w:r>
          </w:p>
        </w:tc>
        <w:tc>
          <w:tcPr>
            <w:tcW w:w="2127" w:type="dxa"/>
          </w:tcPr>
          <w:p>
            <w:pPr>
              <w:pStyle w:val="TableParagraph"/>
              <w:spacing w:before="21"/>
              <w:ind w:left="603" w:right="594"/>
              <w:rPr>
                <w:sz w:val="22"/>
              </w:rPr>
            </w:pPr>
            <w:r>
              <w:rPr>
                <w:sz w:val="22"/>
              </w:rPr>
              <w:t>全部进入</w:t>
            </w:r>
          </w:p>
        </w:tc>
        <w:tc>
          <w:tcPr>
            <w:tcW w:w="1614" w:type="dxa"/>
          </w:tcPr>
          <w:p>
            <w:pPr>
              <w:pStyle w:val="TableParagraph"/>
              <w:spacing w:before="21"/>
              <w:ind w:left="343" w:right="340"/>
              <w:rPr>
                <w:sz w:val="22"/>
              </w:rPr>
            </w:pPr>
            <w:r>
              <w:rPr>
                <w:sz w:val="22"/>
              </w:rPr>
              <w:t>全部进入</w:t>
            </w:r>
          </w:p>
        </w:tc>
      </w:tr>
      <w:tr>
        <w:trPr>
          <w:trHeight w:val="397" w:hRule="atLeast"/>
        </w:trPr>
        <w:tc>
          <w:tcPr>
            <w:tcW w:w="2521" w:type="dxa"/>
          </w:tcPr>
          <w:p>
            <w:pPr>
              <w:pStyle w:val="TableParagraph"/>
              <w:spacing w:before="23"/>
              <w:ind w:left="9"/>
              <w:rPr>
                <w:sz w:val="22"/>
              </w:rPr>
            </w:pPr>
            <w:r>
              <w:rPr>
                <w:w w:val="100"/>
                <w:sz w:val="22"/>
              </w:rPr>
              <w:t>5</w:t>
            </w:r>
          </w:p>
        </w:tc>
        <w:tc>
          <w:tcPr>
            <w:tcW w:w="2127" w:type="dxa"/>
          </w:tcPr>
          <w:p>
            <w:pPr>
              <w:pStyle w:val="TableParagraph"/>
              <w:spacing w:before="23"/>
              <w:ind w:left="9"/>
              <w:rPr>
                <w:sz w:val="22"/>
              </w:rPr>
            </w:pPr>
            <w:r>
              <w:rPr>
                <w:w w:val="100"/>
                <w:sz w:val="22"/>
              </w:rPr>
              <w:t>4</w:t>
            </w:r>
          </w:p>
        </w:tc>
        <w:tc>
          <w:tcPr>
            <w:tcW w:w="1614" w:type="dxa"/>
          </w:tcPr>
          <w:p>
            <w:pPr>
              <w:pStyle w:val="TableParagraph"/>
              <w:spacing w:before="23"/>
              <w:ind w:left="3"/>
              <w:rPr>
                <w:sz w:val="22"/>
              </w:rPr>
            </w:pPr>
            <w:r>
              <w:rPr>
                <w:w w:val="100"/>
                <w:sz w:val="22"/>
              </w:rPr>
              <w:t>4</w:t>
            </w:r>
          </w:p>
        </w:tc>
      </w:tr>
      <w:tr>
        <w:trPr>
          <w:trHeight w:val="398" w:hRule="atLeast"/>
        </w:trPr>
        <w:tc>
          <w:tcPr>
            <w:tcW w:w="2521" w:type="dxa"/>
          </w:tcPr>
          <w:p>
            <w:pPr>
              <w:pStyle w:val="TableParagraph"/>
              <w:spacing w:before="23"/>
              <w:ind w:left="9"/>
              <w:rPr>
                <w:sz w:val="22"/>
              </w:rPr>
            </w:pPr>
            <w:r>
              <w:rPr>
                <w:w w:val="100"/>
                <w:sz w:val="22"/>
              </w:rPr>
              <w:t>6</w:t>
            </w:r>
          </w:p>
        </w:tc>
        <w:tc>
          <w:tcPr>
            <w:tcW w:w="2127" w:type="dxa"/>
          </w:tcPr>
          <w:p>
            <w:pPr>
              <w:pStyle w:val="TableParagraph"/>
              <w:spacing w:before="23"/>
              <w:ind w:left="9"/>
              <w:rPr>
                <w:sz w:val="22"/>
              </w:rPr>
            </w:pPr>
            <w:r>
              <w:rPr>
                <w:w w:val="100"/>
                <w:sz w:val="22"/>
              </w:rPr>
              <w:t>5</w:t>
            </w:r>
          </w:p>
        </w:tc>
        <w:tc>
          <w:tcPr>
            <w:tcW w:w="1614" w:type="dxa"/>
          </w:tcPr>
          <w:p>
            <w:pPr>
              <w:pStyle w:val="TableParagraph"/>
              <w:spacing w:before="23"/>
              <w:ind w:left="3"/>
              <w:rPr>
                <w:sz w:val="22"/>
              </w:rPr>
            </w:pPr>
            <w:r>
              <w:rPr>
                <w:w w:val="100"/>
                <w:sz w:val="22"/>
              </w:rPr>
              <w:t>5</w:t>
            </w:r>
          </w:p>
        </w:tc>
      </w:tr>
      <w:tr>
        <w:trPr>
          <w:trHeight w:val="395" w:hRule="atLeast"/>
        </w:trPr>
        <w:tc>
          <w:tcPr>
            <w:tcW w:w="2521" w:type="dxa"/>
          </w:tcPr>
          <w:p>
            <w:pPr>
              <w:pStyle w:val="TableParagraph"/>
              <w:spacing w:before="21"/>
              <w:ind w:left="9"/>
              <w:rPr>
                <w:sz w:val="22"/>
              </w:rPr>
            </w:pPr>
            <w:r>
              <w:rPr>
                <w:w w:val="100"/>
                <w:sz w:val="22"/>
              </w:rPr>
              <w:t>7</w:t>
            </w:r>
          </w:p>
        </w:tc>
        <w:tc>
          <w:tcPr>
            <w:tcW w:w="2127" w:type="dxa"/>
          </w:tcPr>
          <w:p>
            <w:pPr>
              <w:pStyle w:val="TableParagraph"/>
              <w:spacing w:before="21"/>
              <w:ind w:left="9"/>
              <w:rPr>
                <w:sz w:val="22"/>
              </w:rPr>
            </w:pPr>
            <w:r>
              <w:rPr>
                <w:w w:val="100"/>
                <w:sz w:val="22"/>
              </w:rPr>
              <w:t>6</w:t>
            </w:r>
          </w:p>
        </w:tc>
        <w:tc>
          <w:tcPr>
            <w:tcW w:w="1614" w:type="dxa"/>
          </w:tcPr>
          <w:p>
            <w:pPr>
              <w:pStyle w:val="TableParagraph"/>
              <w:spacing w:before="21"/>
              <w:ind w:left="3"/>
              <w:rPr>
                <w:sz w:val="22"/>
              </w:rPr>
            </w:pPr>
            <w:r>
              <w:rPr>
                <w:w w:val="100"/>
                <w:sz w:val="22"/>
              </w:rPr>
              <w:t>6</w:t>
            </w:r>
          </w:p>
        </w:tc>
      </w:tr>
      <w:tr>
        <w:trPr>
          <w:trHeight w:val="398" w:hRule="atLeast"/>
        </w:trPr>
        <w:tc>
          <w:tcPr>
            <w:tcW w:w="2521" w:type="dxa"/>
          </w:tcPr>
          <w:p>
            <w:pPr>
              <w:pStyle w:val="TableParagraph"/>
              <w:spacing w:before="23"/>
              <w:ind w:left="965" w:right="956"/>
              <w:rPr>
                <w:sz w:val="22"/>
              </w:rPr>
            </w:pPr>
            <w:r>
              <w:rPr>
                <w:sz w:val="22"/>
              </w:rPr>
              <w:t>8-9</w:t>
            </w:r>
          </w:p>
        </w:tc>
        <w:tc>
          <w:tcPr>
            <w:tcW w:w="2127" w:type="dxa"/>
          </w:tcPr>
          <w:p>
            <w:pPr>
              <w:pStyle w:val="TableParagraph"/>
              <w:spacing w:before="23"/>
              <w:ind w:left="9"/>
              <w:rPr>
                <w:sz w:val="22"/>
              </w:rPr>
            </w:pPr>
            <w:r>
              <w:rPr>
                <w:w w:val="100"/>
                <w:sz w:val="22"/>
              </w:rPr>
              <w:t>7</w:t>
            </w:r>
          </w:p>
        </w:tc>
        <w:tc>
          <w:tcPr>
            <w:tcW w:w="1614" w:type="dxa"/>
          </w:tcPr>
          <w:p>
            <w:pPr>
              <w:pStyle w:val="TableParagraph"/>
              <w:spacing w:before="23"/>
              <w:ind w:left="3"/>
              <w:rPr>
                <w:sz w:val="22"/>
              </w:rPr>
            </w:pPr>
            <w:r>
              <w:rPr>
                <w:w w:val="100"/>
                <w:sz w:val="22"/>
              </w:rPr>
              <w:t>7</w:t>
            </w:r>
          </w:p>
        </w:tc>
      </w:tr>
      <w:tr>
        <w:trPr>
          <w:trHeight w:val="395" w:hRule="atLeast"/>
        </w:trPr>
        <w:tc>
          <w:tcPr>
            <w:tcW w:w="2521" w:type="dxa"/>
          </w:tcPr>
          <w:p>
            <w:pPr>
              <w:pStyle w:val="TableParagraph"/>
              <w:spacing w:before="21"/>
              <w:ind w:left="984"/>
              <w:jc w:val="left"/>
              <w:rPr>
                <w:sz w:val="22"/>
              </w:rPr>
            </w:pPr>
            <w:r>
              <w:rPr>
                <w:sz w:val="22"/>
              </w:rPr>
              <w:t>10-11</w:t>
            </w:r>
          </w:p>
        </w:tc>
        <w:tc>
          <w:tcPr>
            <w:tcW w:w="2127" w:type="dxa"/>
          </w:tcPr>
          <w:p>
            <w:pPr>
              <w:pStyle w:val="TableParagraph"/>
              <w:spacing w:before="21"/>
              <w:ind w:left="9"/>
              <w:rPr>
                <w:sz w:val="22"/>
              </w:rPr>
            </w:pPr>
            <w:r>
              <w:rPr>
                <w:w w:val="100"/>
                <w:sz w:val="22"/>
              </w:rPr>
              <w:t>8</w:t>
            </w:r>
          </w:p>
        </w:tc>
        <w:tc>
          <w:tcPr>
            <w:tcW w:w="1614" w:type="dxa"/>
          </w:tcPr>
          <w:p>
            <w:pPr>
              <w:pStyle w:val="TableParagraph"/>
              <w:spacing w:before="21"/>
              <w:ind w:left="3"/>
              <w:rPr>
                <w:sz w:val="22"/>
              </w:rPr>
            </w:pPr>
            <w:r>
              <w:rPr>
                <w:w w:val="100"/>
                <w:sz w:val="22"/>
              </w:rPr>
              <w:t>8</w:t>
            </w:r>
          </w:p>
        </w:tc>
      </w:tr>
      <w:tr>
        <w:trPr>
          <w:trHeight w:val="397" w:hRule="atLeast"/>
        </w:trPr>
        <w:tc>
          <w:tcPr>
            <w:tcW w:w="2521" w:type="dxa"/>
          </w:tcPr>
          <w:p>
            <w:pPr>
              <w:pStyle w:val="TableParagraph"/>
              <w:spacing w:before="23"/>
              <w:ind w:left="984"/>
              <w:jc w:val="left"/>
              <w:rPr>
                <w:sz w:val="22"/>
              </w:rPr>
            </w:pPr>
            <w:r>
              <w:rPr>
                <w:sz w:val="22"/>
              </w:rPr>
              <w:t>12-13</w:t>
            </w:r>
          </w:p>
        </w:tc>
        <w:tc>
          <w:tcPr>
            <w:tcW w:w="2127" w:type="dxa"/>
          </w:tcPr>
          <w:p>
            <w:pPr>
              <w:pStyle w:val="TableParagraph"/>
              <w:spacing w:before="23"/>
              <w:ind w:left="9"/>
              <w:rPr>
                <w:sz w:val="22"/>
              </w:rPr>
            </w:pPr>
            <w:r>
              <w:rPr>
                <w:w w:val="100"/>
                <w:sz w:val="22"/>
              </w:rPr>
              <w:t>9</w:t>
            </w:r>
          </w:p>
        </w:tc>
        <w:tc>
          <w:tcPr>
            <w:tcW w:w="1614" w:type="dxa"/>
          </w:tcPr>
          <w:p>
            <w:pPr>
              <w:pStyle w:val="TableParagraph"/>
              <w:spacing w:before="23"/>
              <w:ind w:left="3"/>
              <w:rPr>
                <w:sz w:val="22"/>
              </w:rPr>
            </w:pPr>
            <w:r>
              <w:rPr>
                <w:w w:val="100"/>
                <w:sz w:val="22"/>
              </w:rPr>
              <w:t>9</w:t>
            </w:r>
          </w:p>
        </w:tc>
      </w:tr>
      <w:tr>
        <w:trPr>
          <w:trHeight w:val="398" w:hRule="atLeast"/>
        </w:trPr>
        <w:tc>
          <w:tcPr>
            <w:tcW w:w="2521" w:type="dxa"/>
          </w:tcPr>
          <w:p>
            <w:pPr>
              <w:pStyle w:val="TableParagraph"/>
              <w:spacing w:before="23"/>
              <w:ind w:left="984"/>
              <w:jc w:val="left"/>
              <w:rPr>
                <w:sz w:val="22"/>
              </w:rPr>
            </w:pPr>
            <w:r>
              <w:rPr>
                <w:sz w:val="22"/>
              </w:rPr>
              <w:t>14-15</w:t>
            </w:r>
          </w:p>
        </w:tc>
        <w:tc>
          <w:tcPr>
            <w:tcW w:w="2127" w:type="dxa"/>
          </w:tcPr>
          <w:p>
            <w:pPr>
              <w:pStyle w:val="TableParagraph"/>
              <w:spacing w:before="23"/>
              <w:ind w:left="603" w:right="594"/>
              <w:rPr>
                <w:sz w:val="22"/>
              </w:rPr>
            </w:pPr>
            <w:r>
              <w:rPr>
                <w:sz w:val="22"/>
              </w:rPr>
              <w:t>10</w:t>
            </w:r>
          </w:p>
        </w:tc>
        <w:tc>
          <w:tcPr>
            <w:tcW w:w="1614" w:type="dxa"/>
          </w:tcPr>
          <w:p>
            <w:pPr>
              <w:pStyle w:val="TableParagraph"/>
              <w:spacing w:before="23"/>
              <w:ind w:left="343" w:right="340"/>
              <w:rPr>
                <w:sz w:val="22"/>
              </w:rPr>
            </w:pPr>
            <w:r>
              <w:rPr>
                <w:sz w:val="22"/>
              </w:rPr>
              <w:t>11</w:t>
            </w:r>
          </w:p>
        </w:tc>
      </w:tr>
      <w:tr>
        <w:trPr>
          <w:trHeight w:val="395" w:hRule="atLeast"/>
        </w:trPr>
        <w:tc>
          <w:tcPr>
            <w:tcW w:w="2521" w:type="dxa"/>
          </w:tcPr>
          <w:p>
            <w:pPr>
              <w:pStyle w:val="TableParagraph"/>
              <w:spacing w:before="21"/>
              <w:ind w:left="984"/>
              <w:jc w:val="left"/>
              <w:rPr>
                <w:sz w:val="22"/>
              </w:rPr>
            </w:pPr>
            <w:r>
              <w:rPr>
                <w:sz w:val="22"/>
              </w:rPr>
              <w:t>16-17</w:t>
            </w:r>
          </w:p>
        </w:tc>
        <w:tc>
          <w:tcPr>
            <w:tcW w:w="2127" w:type="dxa"/>
          </w:tcPr>
          <w:p>
            <w:pPr>
              <w:pStyle w:val="TableParagraph"/>
              <w:spacing w:before="21"/>
              <w:ind w:left="603" w:right="594"/>
              <w:rPr>
                <w:sz w:val="22"/>
              </w:rPr>
            </w:pPr>
            <w:r>
              <w:rPr>
                <w:sz w:val="22"/>
              </w:rPr>
              <w:t>11</w:t>
            </w:r>
          </w:p>
        </w:tc>
        <w:tc>
          <w:tcPr>
            <w:tcW w:w="1614" w:type="dxa"/>
          </w:tcPr>
          <w:p>
            <w:pPr>
              <w:pStyle w:val="TableParagraph"/>
              <w:spacing w:before="21"/>
              <w:ind w:left="343" w:right="340"/>
              <w:rPr>
                <w:sz w:val="22"/>
              </w:rPr>
            </w:pPr>
            <w:r>
              <w:rPr>
                <w:sz w:val="22"/>
              </w:rPr>
              <w:t>12</w:t>
            </w:r>
          </w:p>
        </w:tc>
      </w:tr>
      <w:tr>
        <w:trPr>
          <w:trHeight w:val="397" w:hRule="atLeast"/>
        </w:trPr>
        <w:tc>
          <w:tcPr>
            <w:tcW w:w="2521" w:type="dxa"/>
          </w:tcPr>
          <w:p>
            <w:pPr>
              <w:pStyle w:val="TableParagraph"/>
              <w:spacing w:before="23"/>
              <w:ind w:left="984"/>
              <w:jc w:val="left"/>
              <w:rPr>
                <w:sz w:val="22"/>
              </w:rPr>
            </w:pPr>
            <w:r>
              <w:rPr>
                <w:sz w:val="22"/>
              </w:rPr>
              <w:t>18-19</w:t>
            </w:r>
          </w:p>
        </w:tc>
        <w:tc>
          <w:tcPr>
            <w:tcW w:w="2127" w:type="dxa"/>
          </w:tcPr>
          <w:p>
            <w:pPr>
              <w:pStyle w:val="TableParagraph"/>
              <w:spacing w:before="23"/>
              <w:ind w:left="603" w:right="594"/>
              <w:rPr>
                <w:sz w:val="22"/>
              </w:rPr>
            </w:pPr>
            <w:r>
              <w:rPr>
                <w:sz w:val="22"/>
              </w:rPr>
              <w:t>12</w:t>
            </w:r>
          </w:p>
        </w:tc>
        <w:tc>
          <w:tcPr>
            <w:tcW w:w="1614" w:type="dxa"/>
          </w:tcPr>
          <w:p>
            <w:pPr>
              <w:pStyle w:val="TableParagraph"/>
              <w:spacing w:before="23"/>
              <w:ind w:left="343" w:right="340"/>
              <w:rPr>
                <w:sz w:val="22"/>
              </w:rPr>
            </w:pPr>
            <w:r>
              <w:rPr>
                <w:sz w:val="22"/>
              </w:rPr>
              <w:t>13</w:t>
            </w:r>
          </w:p>
        </w:tc>
      </w:tr>
      <w:tr>
        <w:trPr>
          <w:trHeight w:val="395" w:hRule="atLeast"/>
        </w:trPr>
        <w:tc>
          <w:tcPr>
            <w:tcW w:w="2521" w:type="dxa"/>
          </w:tcPr>
          <w:p>
            <w:pPr>
              <w:pStyle w:val="TableParagraph"/>
              <w:spacing w:before="21"/>
              <w:ind w:left="1039"/>
              <w:jc w:val="left"/>
              <w:rPr>
                <w:sz w:val="22"/>
              </w:rPr>
            </w:pPr>
            <w:r>
              <w:rPr>
                <w:sz w:val="22"/>
              </w:rPr>
              <w:t>≥20</w:t>
            </w:r>
          </w:p>
        </w:tc>
        <w:tc>
          <w:tcPr>
            <w:tcW w:w="2127" w:type="dxa"/>
          </w:tcPr>
          <w:p>
            <w:pPr>
              <w:pStyle w:val="TableParagraph"/>
              <w:spacing w:before="21"/>
              <w:ind w:left="603" w:right="594"/>
              <w:rPr>
                <w:sz w:val="22"/>
              </w:rPr>
            </w:pPr>
            <w:r>
              <w:rPr>
                <w:sz w:val="22"/>
              </w:rPr>
              <w:t>13</w:t>
            </w:r>
          </w:p>
        </w:tc>
        <w:tc>
          <w:tcPr>
            <w:tcW w:w="1614" w:type="dxa"/>
          </w:tcPr>
          <w:p>
            <w:pPr>
              <w:pStyle w:val="TableParagraph"/>
              <w:spacing w:before="21"/>
              <w:ind w:left="343" w:right="340"/>
              <w:rPr>
                <w:sz w:val="22"/>
              </w:rPr>
            </w:pPr>
            <w:r>
              <w:rPr>
                <w:sz w:val="22"/>
              </w:rPr>
              <w:t>14</w:t>
            </w:r>
          </w:p>
        </w:tc>
      </w:tr>
    </w:tbl>
    <w:p>
      <w:pPr>
        <w:pStyle w:val="BodyText"/>
        <w:spacing w:line="321" w:lineRule="auto"/>
        <w:ind w:right="676" w:firstLine="640"/>
      </w:pPr>
      <w:r>
        <w:rPr/>
        <w:t>（二）</w:t>
      </w:r>
      <w:r>
        <w:rPr>
          <w:spacing w:val="-17"/>
        </w:rPr>
        <w:t>商务评审 </w:t>
      </w:r>
      <w:r>
        <w:rPr/>
        <w:t>40</w:t>
      </w:r>
      <w:r>
        <w:rPr>
          <w:spacing w:val="-11"/>
        </w:rPr>
        <w:t> 分。评审依据为产品商品包的平均降</w:t>
      </w:r>
      <w:r>
        <w:rPr/>
        <w:t>价幅度。</w:t>
      </w:r>
    </w:p>
    <w:p>
      <w:pPr>
        <w:pStyle w:val="BodyText"/>
        <w:spacing w:line="321" w:lineRule="auto" w:before="1"/>
        <w:ind w:right="518" w:firstLine="640"/>
        <w:jc w:val="both"/>
      </w:pPr>
      <w:r>
        <w:rPr/>
        <w:t>（三）</w:t>
      </w:r>
      <w:r>
        <w:rPr>
          <w:spacing w:val="-1"/>
        </w:rPr>
        <w:t>综合评审。产品商品包综合评审得分为经济技术评</w:t>
      </w:r>
      <w:r>
        <w:rPr>
          <w:spacing w:val="-5"/>
        </w:rPr>
        <w:t>审得分和商务评审得分之和，总分值为 </w:t>
      </w:r>
      <w:r>
        <w:rPr/>
        <w:t>100</w:t>
      </w:r>
      <w:r>
        <w:rPr>
          <w:spacing w:val="-13"/>
        </w:rPr>
        <w:t> 分。拟入围产品确</w:t>
      </w:r>
      <w:r>
        <w:rPr>
          <w:spacing w:val="-1"/>
        </w:rPr>
        <w:t>定方法：根据入围规则，按照产品商品包的总分由高到低顺序依次确定。同评审组产品商品包总分相同，则商务得分高的入</w:t>
      </w:r>
      <w:r>
        <w:rPr/>
        <w:t>围；如商务得分和经济技术评审得分均相同则同时入围（</w:t>
      </w:r>
      <w:r>
        <w:rPr>
          <w:spacing w:val="-8"/>
        </w:rPr>
        <w:t>仅限</w:t>
      </w:r>
      <w:r>
        <w:rPr/>
        <w:t>最后一个入围名额</w:t>
      </w:r>
      <w:r>
        <w:rPr>
          <w:spacing w:val="-161"/>
        </w:rPr>
        <w:t>）</w:t>
      </w:r>
      <w:r>
        <w:rPr/>
        <w:t>。入围规则如下：</w:t>
      </w:r>
    </w:p>
    <w:tbl>
      <w:tblPr>
        <w:tblW w:w="0" w:type="auto"/>
        <w:jc w:val="left"/>
        <w:tblInd w:w="1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21"/>
        <w:gridCol w:w="2127"/>
        <w:gridCol w:w="1614"/>
      </w:tblGrid>
      <w:tr>
        <w:trPr>
          <w:trHeight w:val="396" w:hRule="atLeast"/>
        </w:trPr>
        <w:tc>
          <w:tcPr>
            <w:tcW w:w="2521" w:type="dxa"/>
            <w:vMerge w:val="restart"/>
          </w:tcPr>
          <w:p>
            <w:pPr>
              <w:pStyle w:val="TableParagraph"/>
              <w:spacing w:line="278" w:lineRule="auto" w:before="29"/>
              <w:ind w:left="710" w:right="586" w:hanging="111"/>
              <w:jc w:val="left"/>
              <w:rPr>
                <w:sz w:val="22"/>
              </w:rPr>
            </w:pPr>
            <w:r>
              <w:rPr>
                <w:sz w:val="22"/>
              </w:rPr>
              <w:t>进入综合评审商品包个数</w:t>
            </w:r>
          </w:p>
        </w:tc>
        <w:tc>
          <w:tcPr>
            <w:tcW w:w="3741" w:type="dxa"/>
            <w:gridSpan w:val="2"/>
          </w:tcPr>
          <w:p>
            <w:pPr>
              <w:pStyle w:val="TableParagraph"/>
              <w:spacing w:before="22"/>
              <w:ind w:left="1209"/>
              <w:jc w:val="left"/>
              <w:rPr>
                <w:sz w:val="22"/>
              </w:rPr>
            </w:pPr>
            <w:r>
              <w:rPr>
                <w:sz w:val="22"/>
              </w:rPr>
              <w:t>入围商品包数</w:t>
            </w:r>
          </w:p>
        </w:tc>
      </w:tr>
      <w:tr>
        <w:trPr>
          <w:trHeight w:val="328" w:hRule="atLeast"/>
        </w:trPr>
        <w:tc>
          <w:tcPr>
            <w:tcW w:w="2521" w:type="dxa"/>
            <w:vMerge/>
            <w:tcBorders>
              <w:top w:val="nil"/>
            </w:tcBorders>
          </w:tcPr>
          <w:p>
            <w:pPr>
              <w:rPr>
                <w:sz w:val="2"/>
                <w:szCs w:val="2"/>
              </w:rPr>
            </w:pPr>
          </w:p>
        </w:tc>
        <w:tc>
          <w:tcPr>
            <w:tcW w:w="2127" w:type="dxa"/>
          </w:tcPr>
          <w:p>
            <w:pPr>
              <w:pStyle w:val="TableParagraph"/>
              <w:spacing w:line="272" w:lineRule="exact"/>
              <w:ind w:left="0" w:right="831"/>
              <w:jc w:val="right"/>
              <w:rPr>
                <w:sz w:val="22"/>
              </w:rPr>
            </w:pPr>
            <w:r>
              <w:rPr>
                <w:sz w:val="22"/>
              </w:rPr>
              <w:t>进口</w:t>
            </w:r>
          </w:p>
        </w:tc>
        <w:tc>
          <w:tcPr>
            <w:tcW w:w="1614" w:type="dxa"/>
          </w:tcPr>
          <w:p>
            <w:pPr>
              <w:pStyle w:val="TableParagraph"/>
              <w:spacing w:line="272" w:lineRule="exact"/>
              <w:ind w:left="343" w:right="340"/>
              <w:rPr>
                <w:sz w:val="22"/>
              </w:rPr>
            </w:pPr>
            <w:r>
              <w:rPr>
                <w:sz w:val="22"/>
              </w:rPr>
              <w:t>国产</w:t>
            </w:r>
          </w:p>
        </w:tc>
      </w:tr>
      <w:tr>
        <w:trPr>
          <w:trHeight w:val="398" w:hRule="atLeast"/>
        </w:trPr>
        <w:tc>
          <w:tcPr>
            <w:tcW w:w="2521" w:type="dxa"/>
          </w:tcPr>
          <w:p>
            <w:pPr>
              <w:pStyle w:val="TableParagraph"/>
              <w:spacing w:before="24"/>
              <w:ind w:left="965" w:right="956"/>
              <w:rPr>
                <w:sz w:val="22"/>
              </w:rPr>
            </w:pPr>
            <w:r>
              <w:rPr>
                <w:sz w:val="22"/>
              </w:rPr>
              <w:t>1-4</w:t>
            </w:r>
          </w:p>
        </w:tc>
        <w:tc>
          <w:tcPr>
            <w:tcW w:w="2127" w:type="dxa"/>
          </w:tcPr>
          <w:p>
            <w:pPr>
              <w:pStyle w:val="TableParagraph"/>
              <w:spacing w:before="24"/>
              <w:ind w:left="0" w:right="886"/>
              <w:jc w:val="right"/>
              <w:rPr>
                <w:sz w:val="22"/>
              </w:rPr>
            </w:pPr>
            <w:r>
              <w:rPr>
                <w:sz w:val="22"/>
              </w:rPr>
              <w:t>1-2</w:t>
            </w:r>
          </w:p>
        </w:tc>
        <w:tc>
          <w:tcPr>
            <w:tcW w:w="1614" w:type="dxa"/>
          </w:tcPr>
          <w:p>
            <w:pPr>
              <w:pStyle w:val="TableParagraph"/>
              <w:spacing w:before="24"/>
              <w:ind w:left="343" w:right="340"/>
              <w:rPr>
                <w:sz w:val="22"/>
              </w:rPr>
            </w:pPr>
            <w:r>
              <w:rPr>
                <w:sz w:val="22"/>
              </w:rPr>
              <w:t>1-3</w:t>
            </w:r>
          </w:p>
        </w:tc>
      </w:tr>
      <w:tr>
        <w:trPr>
          <w:trHeight w:val="398" w:hRule="atLeast"/>
        </w:trPr>
        <w:tc>
          <w:tcPr>
            <w:tcW w:w="2521" w:type="dxa"/>
          </w:tcPr>
          <w:p>
            <w:pPr>
              <w:pStyle w:val="TableParagraph"/>
              <w:spacing w:before="21"/>
              <w:ind w:left="965" w:right="956"/>
              <w:rPr>
                <w:sz w:val="22"/>
              </w:rPr>
            </w:pPr>
            <w:r>
              <w:rPr>
                <w:sz w:val="22"/>
              </w:rPr>
              <w:t>5-6</w:t>
            </w:r>
          </w:p>
        </w:tc>
        <w:tc>
          <w:tcPr>
            <w:tcW w:w="2127" w:type="dxa"/>
          </w:tcPr>
          <w:p>
            <w:pPr>
              <w:pStyle w:val="TableParagraph"/>
              <w:spacing w:before="21"/>
              <w:ind w:left="9"/>
              <w:rPr>
                <w:sz w:val="22"/>
              </w:rPr>
            </w:pPr>
            <w:r>
              <w:rPr>
                <w:w w:val="100"/>
                <w:sz w:val="22"/>
              </w:rPr>
              <w:t>3</w:t>
            </w:r>
          </w:p>
        </w:tc>
        <w:tc>
          <w:tcPr>
            <w:tcW w:w="1614" w:type="dxa"/>
          </w:tcPr>
          <w:p>
            <w:pPr>
              <w:pStyle w:val="TableParagraph"/>
              <w:spacing w:before="21"/>
              <w:ind w:left="3"/>
              <w:rPr>
                <w:sz w:val="22"/>
              </w:rPr>
            </w:pPr>
            <w:r>
              <w:rPr>
                <w:w w:val="100"/>
                <w:sz w:val="22"/>
              </w:rPr>
              <w:t>4</w:t>
            </w:r>
          </w:p>
        </w:tc>
      </w:tr>
      <w:tr>
        <w:trPr>
          <w:trHeight w:val="395" w:hRule="atLeast"/>
        </w:trPr>
        <w:tc>
          <w:tcPr>
            <w:tcW w:w="2521" w:type="dxa"/>
          </w:tcPr>
          <w:p>
            <w:pPr>
              <w:pStyle w:val="TableParagraph"/>
              <w:spacing w:before="21"/>
              <w:ind w:left="965" w:right="956"/>
              <w:rPr>
                <w:sz w:val="22"/>
              </w:rPr>
            </w:pPr>
            <w:r>
              <w:rPr>
                <w:sz w:val="22"/>
              </w:rPr>
              <w:t>7-8</w:t>
            </w:r>
          </w:p>
        </w:tc>
        <w:tc>
          <w:tcPr>
            <w:tcW w:w="2127" w:type="dxa"/>
          </w:tcPr>
          <w:p>
            <w:pPr>
              <w:pStyle w:val="TableParagraph"/>
              <w:spacing w:before="21"/>
              <w:ind w:left="9"/>
              <w:rPr>
                <w:sz w:val="22"/>
              </w:rPr>
            </w:pPr>
            <w:r>
              <w:rPr>
                <w:w w:val="100"/>
                <w:sz w:val="22"/>
              </w:rPr>
              <w:t>4</w:t>
            </w:r>
          </w:p>
        </w:tc>
        <w:tc>
          <w:tcPr>
            <w:tcW w:w="1614" w:type="dxa"/>
          </w:tcPr>
          <w:p>
            <w:pPr>
              <w:pStyle w:val="TableParagraph"/>
              <w:spacing w:before="21"/>
              <w:ind w:left="3"/>
              <w:rPr>
                <w:sz w:val="22"/>
              </w:rPr>
            </w:pPr>
            <w:r>
              <w:rPr>
                <w:w w:val="100"/>
                <w:sz w:val="22"/>
              </w:rPr>
              <w:t>5</w:t>
            </w:r>
          </w:p>
        </w:tc>
      </w:tr>
      <w:tr>
        <w:trPr>
          <w:trHeight w:val="398" w:hRule="atLeast"/>
        </w:trPr>
        <w:tc>
          <w:tcPr>
            <w:tcW w:w="2521" w:type="dxa"/>
          </w:tcPr>
          <w:p>
            <w:pPr>
              <w:pStyle w:val="TableParagraph"/>
              <w:spacing w:before="24"/>
              <w:ind w:left="1039"/>
              <w:jc w:val="left"/>
              <w:rPr>
                <w:sz w:val="22"/>
              </w:rPr>
            </w:pPr>
            <w:r>
              <w:rPr>
                <w:sz w:val="22"/>
              </w:rPr>
              <w:t>9-10</w:t>
            </w:r>
          </w:p>
        </w:tc>
        <w:tc>
          <w:tcPr>
            <w:tcW w:w="2127" w:type="dxa"/>
          </w:tcPr>
          <w:p>
            <w:pPr>
              <w:pStyle w:val="TableParagraph"/>
              <w:spacing w:before="24"/>
              <w:ind w:left="9"/>
              <w:rPr>
                <w:sz w:val="22"/>
              </w:rPr>
            </w:pPr>
            <w:r>
              <w:rPr>
                <w:w w:val="100"/>
                <w:sz w:val="22"/>
              </w:rPr>
              <w:t>5</w:t>
            </w:r>
          </w:p>
        </w:tc>
        <w:tc>
          <w:tcPr>
            <w:tcW w:w="1614" w:type="dxa"/>
          </w:tcPr>
          <w:p>
            <w:pPr>
              <w:pStyle w:val="TableParagraph"/>
              <w:spacing w:before="24"/>
              <w:ind w:left="3"/>
              <w:rPr>
                <w:sz w:val="22"/>
              </w:rPr>
            </w:pPr>
            <w:r>
              <w:rPr>
                <w:w w:val="100"/>
                <w:sz w:val="22"/>
              </w:rPr>
              <w:t>6</w:t>
            </w:r>
          </w:p>
        </w:tc>
      </w:tr>
      <w:tr>
        <w:trPr>
          <w:trHeight w:val="395" w:hRule="atLeast"/>
        </w:trPr>
        <w:tc>
          <w:tcPr>
            <w:tcW w:w="2521" w:type="dxa"/>
          </w:tcPr>
          <w:p>
            <w:pPr>
              <w:pStyle w:val="TableParagraph"/>
              <w:spacing w:before="21"/>
              <w:ind w:left="984"/>
              <w:jc w:val="left"/>
              <w:rPr>
                <w:sz w:val="22"/>
              </w:rPr>
            </w:pPr>
            <w:r>
              <w:rPr>
                <w:sz w:val="22"/>
              </w:rPr>
              <w:t>11-12</w:t>
            </w:r>
          </w:p>
        </w:tc>
        <w:tc>
          <w:tcPr>
            <w:tcW w:w="2127" w:type="dxa"/>
          </w:tcPr>
          <w:p>
            <w:pPr>
              <w:pStyle w:val="TableParagraph"/>
              <w:spacing w:before="21"/>
              <w:ind w:left="9"/>
              <w:rPr>
                <w:sz w:val="22"/>
              </w:rPr>
            </w:pPr>
            <w:r>
              <w:rPr>
                <w:w w:val="100"/>
                <w:sz w:val="22"/>
              </w:rPr>
              <w:t>6</w:t>
            </w:r>
          </w:p>
        </w:tc>
        <w:tc>
          <w:tcPr>
            <w:tcW w:w="1614" w:type="dxa"/>
          </w:tcPr>
          <w:p>
            <w:pPr>
              <w:pStyle w:val="TableParagraph"/>
              <w:spacing w:before="21"/>
              <w:ind w:left="3"/>
              <w:rPr>
                <w:sz w:val="22"/>
              </w:rPr>
            </w:pPr>
            <w:r>
              <w:rPr>
                <w:w w:val="100"/>
                <w:sz w:val="22"/>
              </w:rPr>
              <w:t>7</w:t>
            </w:r>
          </w:p>
        </w:tc>
      </w:tr>
    </w:tbl>
    <w:p>
      <w:pPr>
        <w:spacing w:after="0"/>
        <w:rPr>
          <w:sz w:val="22"/>
        </w:rPr>
        <w:sectPr>
          <w:pgSz w:w="11910" w:h="16840"/>
          <w:pgMar w:header="0" w:footer="1302" w:top="1380" w:bottom="1500" w:left="1220" w:right="1160"/>
        </w:sectPr>
      </w:pPr>
    </w:p>
    <w:tbl>
      <w:tblPr>
        <w:tblW w:w="0" w:type="auto"/>
        <w:jc w:val="left"/>
        <w:tblInd w:w="1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21"/>
        <w:gridCol w:w="2127"/>
        <w:gridCol w:w="1614"/>
      </w:tblGrid>
      <w:tr>
        <w:trPr>
          <w:trHeight w:val="395" w:hRule="atLeast"/>
        </w:trPr>
        <w:tc>
          <w:tcPr>
            <w:tcW w:w="2521" w:type="dxa"/>
            <w:vMerge w:val="restart"/>
          </w:tcPr>
          <w:p>
            <w:pPr>
              <w:pStyle w:val="TableParagraph"/>
              <w:spacing w:line="280" w:lineRule="auto" w:before="36"/>
              <w:ind w:left="710" w:right="586" w:hanging="111"/>
              <w:jc w:val="left"/>
              <w:rPr>
                <w:sz w:val="22"/>
              </w:rPr>
            </w:pPr>
            <w:r>
              <w:rPr>
                <w:sz w:val="22"/>
              </w:rPr>
              <w:t>进入综合评审商品包个数</w:t>
            </w:r>
          </w:p>
        </w:tc>
        <w:tc>
          <w:tcPr>
            <w:tcW w:w="3741" w:type="dxa"/>
            <w:gridSpan w:val="2"/>
          </w:tcPr>
          <w:p>
            <w:pPr>
              <w:pStyle w:val="TableParagraph"/>
              <w:spacing w:before="32"/>
              <w:ind w:left="1209"/>
              <w:jc w:val="left"/>
              <w:rPr>
                <w:sz w:val="22"/>
              </w:rPr>
            </w:pPr>
            <w:r>
              <w:rPr>
                <w:sz w:val="22"/>
              </w:rPr>
              <w:t>入围商品包数</w:t>
            </w:r>
          </w:p>
        </w:tc>
      </w:tr>
      <w:tr>
        <w:trPr>
          <w:trHeight w:val="328" w:hRule="atLeast"/>
        </w:trPr>
        <w:tc>
          <w:tcPr>
            <w:tcW w:w="2521" w:type="dxa"/>
            <w:vMerge/>
            <w:tcBorders>
              <w:top w:val="nil"/>
            </w:tcBorders>
          </w:tcPr>
          <w:p>
            <w:pPr>
              <w:rPr>
                <w:sz w:val="2"/>
                <w:szCs w:val="2"/>
              </w:rPr>
            </w:pPr>
          </w:p>
        </w:tc>
        <w:tc>
          <w:tcPr>
            <w:tcW w:w="2127" w:type="dxa"/>
          </w:tcPr>
          <w:p>
            <w:pPr>
              <w:pStyle w:val="TableParagraph"/>
              <w:ind w:left="603" w:right="594"/>
              <w:rPr>
                <w:sz w:val="22"/>
              </w:rPr>
            </w:pPr>
            <w:r>
              <w:rPr>
                <w:sz w:val="22"/>
              </w:rPr>
              <w:t>进口</w:t>
            </w:r>
          </w:p>
        </w:tc>
        <w:tc>
          <w:tcPr>
            <w:tcW w:w="1614" w:type="dxa"/>
          </w:tcPr>
          <w:p>
            <w:pPr>
              <w:pStyle w:val="TableParagraph"/>
              <w:ind w:left="343" w:right="340"/>
              <w:rPr>
                <w:sz w:val="22"/>
              </w:rPr>
            </w:pPr>
            <w:r>
              <w:rPr>
                <w:sz w:val="22"/>
              </w:rPr>
              <w:t>国产</w:t>
            </w:r>
          </w:p>
        </w:tc>
      </w:tr>
      <w:tr>
        <w:trPr>
          <w:trHeight w:val="397" w:hRule="atLeast"/>
        </w:trPr>
        <w:tc>
          <w:tcPr>
            <w:tcW w:w="2521" w:type="dxa"/>
          </w:tcPr>
          <w:p>
            <w:pPr>
              <w:pStyle w:val="TableParagraph"/>
              <w:spacing w:before="34"/>
              <w:ind w:left="965" w:right="956"/>
              <w:rPr>
                <w:sz w:val="22"/>
              </w:rPr>
            </w:pPr>
            <w:r>
              <w:rPr>
                <w:sz w:val="22"/>
              </w:rPr>
              <w:t>13-14</w:t>
            </w:r>
          </w:p>
        </w:tc>
        <w:tc>
          <w:tcPr>
            <w:tcW w:w="2127" w:type="dxa"/>
          </w:tcPr>
          <w:p>
            <w:pPr>
              <w:pStyle w:val="TableParagraph"/>
              <w:spacing w:before="34"/>
              <w:ind w:left="9"/>
              <w:rPr>
                <w:sz w:val="22"/>
              </w:rPr>
            </w:pPr>
            <w:r>
              <w:rPr>
                <w:w w:val="100"/>
                <w:sz w:val="22"/>
              </w:rPr>
              <w:t>7</w:t>
            </w:r>
          </w:p>
        </w:tc>
        <w:tc>
          <w:tcPr>
            <w:tcW w:w="1614" w:type="dxa"/>
          </w:tcPr>
          <w:p>
            <w:pPr>
              <w:pStyle w:val="TableParagraph"/>
              <w:spacing w:before="34"/>
              <w:ind w:left="3"/>
              <w:rPr>
                <w:sz w:val="22"/>
              </w:rPr>
            </w:pPr>
            <w:r>
              <w:rPr>
                <w:w w:val="100"/>
                <w:sz w:val="22"/>
              </w:rPr>
              <w:t>8</w:t>
            </w:r>
          </w:p>
        </w:tc>
      </w:tr>
    </w:tbl>
    <w:p>
      <w:pPr>
        <w:pStyle w:val="BodyText"/>
        <w:spacing w:before="8"/>
        <w:ind w:left="1010"/>
      </w:pPr>
      <w:r>
        <w:rPr/>
        <w:t>三、确定集中采购产品目录</w:t>
      </w:r>
    </w:p>
    <w:p>
      <w:pPr>
        <w:pStyle w:val="BodyText"/>
        <w:spacing w:line="321" w:lineRule="auto" w:before="140"/>
        <w:ind w:right="420" w:firstLine="640"/>
        <w:jc w:val="both"/>
      </w:pPr>
      <w:r>
        <w:rPr>
          <w:spacing w:val="-2"/>
        </w:rPr>
        <w:t>入围产品目录及交易价格将予以公示，公示期为 </w:t>
      </w:r>
      <w:r>
        <w:rPr/>
        <w:t>5</w:t>
      </w:r>
      <w:r>
        <w:rPr>
          <w:spacing w:val="-13"/>
        </w:rPr>
        <w:t> 个工作</w:t>
      </w:r>
      <w:r>
        <w:rPr/>
        <w:t>日。公示期内，接受各方申诉。经组织评审专家核查后予以答复。如发现公示入围价格高于省内其他地市的最低中标价格， 将作价格调平处理。最终入围产品目录将予以正式公布。</w:t>
      </w:r>
    </w:p>
    <w:p>
      <w:pPr>
        <w:pStyle w:val="Heading1"/>
        <w:spacing w:line="486" w:lineRule="exact"/>
        <w:ind w:left="3691"/>
      </w:pPr>
      <w:r>
        <w:rPr/>
        <w:t>第九章 采购与配送</w:t>
      </w:r>
    </w:p>
    <w:p>
      <w:pPr>
        <w:pStyle w:val="BodyText"/>
        <w:spacing w:before="62"/>
        <w:ind w:left="1010"/>
      </w:pPr>
      <w:r>
        <w:rPr/>
        <w:t>一、产品采购</w:t>
      </w:r>
    </w:p>
    <w:p>
      <w:pPr>
        <w:pStyle w:val="BodyText"/>
        <w:spacing w:before="140"/>
        <w:ind w:left="1010"/>
      </w:pPr>
      <w:r>
        <w:rPr/>
        <w:t>（一）采购主体</w:t>
      </w:r>
    </w:p>
    <w:p>
      <w:pPr>
        <w:pStyle w:val="BodyText"/>
        <w:spacing w:line="321" w:lineRule="auto" w:before="137"/>
        <w:ind w:right="433" w:firstLine="640"/>
      </w:pPr>
      <w:r>
        <w:rPr>
          <w:w w:val="95"/>
        </w:rPr>
        <w:t>参加本次医用耗材和检验检测试剂集中采购的各级各类医 </w:t>
      </w:r>
      <w:r>
        <w:rPr/>
        <w:t>疗卫生机构。</w:t>
      </w:r>
    </w:p>
    <w:p>
      <w:pPr>
        <w:pStyle w:val="BodyText"/>
        <w:ind w:left="1010"/>
      </w:pPr>
      <w:r>
        <w:rPr/>
        <w:t>（二）采购方法</w:t>
      </w:r>
    </w:p>
    <w:p>
      <w:pPr>
        <w:pStyle w:val="BodyText"/>
        <w:spacing w:line="321" w:lineRule="auto" w:before="140"/>
        <w:ind w:right="112" w:firstLine="640"/>
      </w:pPr>
      <w:r>
        <w:rPr/>
        <w:t>医疗卫生机构通过采购与监管平台进行网上采购，严禁网下采购。医疗卫生机构网上编制采购订单、验货确认。配送企业按照采购订单进行配送确认，在规定时间内按要求配送到位。定期通报医疗卫生机构采购情况。</w:t>
      </w:r>
    </w:p>
    <w:p>
      <w:pPr>
        <w:pStyle w:val="BodyText"/>
        <w:spacing w:line="408" w:lineRule="exact"/>
        <w:ind w:left="1010"/>
      </w:pPr>
      <w:r>
        <w:rPr/>
        <w:t>（三）签订购销合同</w:t>
      </w:r>
    </w:p>
    <w:p>
      <w:pPr>
        <w:pStyle w:val="BodyText"/>
        <w:spacing w:line="321" w:lineRule="auto" w:before="140"/>
        <w:ind w:right="429" w:firstLine="640"/>
        <w:jc w:val="both"/>
      </w:pPr>
      <w:r>
        <w:rPr/>
        <w:t>医疗卫生机构按照《中华人民共和国合同法》等规定与医</w:t>
      </w:r>
      <w:r>
        <w:rPr>
          <w:w w:val="95"/>
        </w:rPr>
        <w:t>用耗材及检验检测试剂生产企业或被授权的经营企业签订购销 合同和廉洁购销合同，明确采购产品、采购价格及付款时间等 </w:t>
      </w:r>
      <w:r>
        <w:rPr/>
        <w:t>各方责任。</w:t>
      </w:r>
    </w:p>
    <w:p>
      <w:pPr>
        <w:pStyle w:val="BodyText"/>
        <w:spacing w:line="409" w:lineRule="exact"/>
        <w:ind w:left="1010"/>
      </w:pPr>
      <w:r>
        <w:rPr/>
        <w:t>（四）货款支付</w:t>
      </w:r>
    </w:p>
    <w:p>
      <w:pPr>
        <w:pStyle w:val="BodyText"/>
        <w:spacing w:line="321" w:lineRule="auto" w:before="140"/>
        <w:ind w:right="433" w:firstLine="640"/>
      </w:pPr>
      <w:r>
        <w:rPr>
          <w:w w:val="95"/>
        </w:rPr>
        <w:t>医疗卫生机构要完善付款制度，制定付款流程和办法，供 </w:t>
      </w:r>
      <w:r>
        <w:rPr/>
        <w:t>购双方按相关规定确定结付货款时间。</w:t>
      </w:r>
    </w:p>
    <w:p>
      <w:pPr>
        <w:spacing w:after="0" w:line="321" w:lineRule="auto"/>
        <w:sectPr>
          <w:pgSz w:w="11910" w:h="16840"/>
          <w:pgMar w:header="0" w:footer="1302" w:top="1400" w:bottom="1500" w:left="1220" w:right="1160"/>
        </w:sectPr>
      </w:pPr>
    </w:p>
    <w:p>
      <w:pPr>
        <w:pStyle w:val="BodyText"/>
        <w:spacing w:before="29"/>
        <w:ind w:left="1010"/>
      </w:pPr>
      <w:r>
        <w:rPr/>
        <w:t>二、产品配送</w:t>
      </w:r>
    </w:p>
    <w:p>
      <w:pPr>
        <w:pStyle w:val="BodyText"/>
        <w:spacing w:before="140"/>
        <w:ind w:left="1010"/>
      </w:pPr>
      <w:r>
        <w:rPr/>
        <w:t>（一）配送原则</w:t>
      </w:r>
    </w:p>
    <w:p>
      <w:pPr>
        <w:pStyle w:val="BodyText"/>
        <w:spacing w:line="321" w:lineRule="auto" w:before="137"/>
        <w:ind w:right="420" w:firstLine="640"/>
        <w:jc w:val="both"/>
      </w:pPr>
      <w:r>
        <w:rPr>
          <w:spacing w:val="2"/>
          <w:w w:val="95"/>
        </w:rPr>
        <w:t>医用耗材及检验检测试剂配送由生产企业负责，生产企业 </w:t>
      </w:r>
      <w:r>
        <w:rPr>
          <w:w w:val="95"/>
        </w:rPr>
        <w:t>原则上需按照“两票制”的要求，直接配送或委托具有相应医 </w:t>
      </w:r>
      <w:r>
        <w:rPr/>
        <w:t>疗器械经营资质的企业配送。</w:t>
      </w:r>
    </w:p>
    <w:p>
      <w:pPr>
        <w:pStyle w:val="BodyText"/>
        <w:ind w:left="1010"/>
      </w:pPr>
      <w:r>
        <w:rPr/>
        <w:t>（二）确定配送关系</w:t>
      </w:r>
    </w:p>
    <w:p>
      <w:pPr>
        <w:pStyle w:val="BodyText"/>
        <w:spacing w:line="321" w:lineRule="auto" w:before="140"/>
        <w:ind w:right="102" w:firstLine="640"/>
      </w:pPr>
      <w:r>
        <w:rPr/>
        <w:t>生产企业应在入围结果公布后及时完成配送关系的确定。 鼓励入围企业按照相对集中原则，选择服务能力强、信誉好的 经营企业与医疗卫生机构建立配送关系。委托配送的生产企业 和被委托的企业配送关系确定后，应向服务机构提交配送方案。配送关系建立后，在采购周期内应保持相对稳定，如有特殊情 况，经市耗材集中采购办公室审定后可作适当调整。</w:t>
      </w:r>
    </w:p>
    <w:p>
      <w:pPr>
        <w:pStyle w:val="BodyText"/>
        <w:spacing w:line="407" w:lineRule="exact"/>
        <w:ind w:left="1010"/>
      </w:pPr>
      <w:r>
        <w:rPr/>
        <w:t>（三）配送要求</w:t>
      </w:r>
    </w:p>
    <w:p>
      <w:pPr>
        <w:pStyle w:val="BodyText"/>
        <w:spacing w:line="321" w:lineRule="auto" w:before="140"/>
        <w:ind w:right="677" w:firstLine="640"/>
      </w:pPr>
      <w:r>
        <w:rPr/>
        <w:t>1、供货企业应对医用耗材和检验检测试剂质量和保障供应负责，必须及时保质保量供货；</w:t>
      </w:r>
    </w:p>
    <w:p>
      <w:pPr>
        <w:pStyle w:val="BodyText"/>
        <w:ind w:left="1010"/>
      </w:pPr>
      <w:r>
        <w:rPr/>
        <w:t>2、供货企业须具备采购平台网上响应能力；</w:t>
      </w:r>
    </w:p>
    <w:p>
      <w:pPr>
        <w:pStyle w:val="BodyText"/>
        <w:spacing w:line="319" w:lineRule="auto" w:before="140"/>
        <w:ind w:right="677" w:firstLine="640"/>
      </w:pPr>
      <w:r>
        <w:rPr/>
        <w:t>3、配送的医用耗材和检验检测试剂必须是网上交易目录中产品；</w:t>
      </w:r>
    </w:p>
    <w:p>
      <w:pPr>
        <w:pStyle w:val="BodyText"/>
        <w:spacing w:line="321" w:lineRule="auto" w:before="6"/>
        <w:ind w:right="516" w:firstLine="640"/>
      </w:pPr>
      <w:r>
        <w:rPr/>
        <w:t>4、供货企业应根据使用单位采购需求，及时配送并提供</w:t>
      </w:r>
      <w:r>
        <w:rPr>
          <w:spacing w:val="-4"/>
        </w:rPr>
        <w:t>伴随服务。急救、急用的医用耗材和检验检测试剂原则上 </w:t>
      </w:r>
      <w:r>
        <w:rPr/>
        <w:t>4</w:t>
      </w:r>
      <w:r>
        <w:rPr>
          <w:spacing w:val="-50"/>
        </w:rPr>
        <w:t> 小</w:t>
      </w:r>
    </w:p>
    <w:p>
      <w:pPr>
        <w:pStyle w:val="BodyText"/>
        <w:spacing w:before="1"/>
      </w:pPr>
      <w:r>
        <w:rPr/>
        <w:t>时内送达，一般需求在 24 小时内送达；</w:t>
      </w:r>
    </w:p>
    <w:p>
      <w:pPr>
        <w:pStyle w:val="BodyText"/>
        <w:spacing w:line="319" w:lineRule="auto" w:before="140"/>
        <w:ind w:right="677" w:firstLine="640"/>
      </w:pPr>
      <w:r>
        <w:rPr/>
        <w:t>5、供货企业不得无故停止产品的供应，出现特殊原因的应提前 2 个月报市药品集中采购工作领导小组办公室备案；</w:t>
      </w:r>
    </w:p>
    <w:p>
      <w:pPr>
        <w:pStyle w:val="BodyText"/>
        <w:spacing w:line="321" w:lineRule="auto" w:before="6"/>
        <w:ind w:right="677" w:firstLine="640"/>
      </w:pPr>
      <w:r>
        <w:rPr/>
        <w:t>6、如因产品在使用环节中出现医疗纠纷，供货企业须在第一时间内积极配合医疗卫生机构沟通处理。</w:t>
      </w:r>
    </w:p>
    <w:p>
      <w:pPr>
        <w:spacing w:after="0" w:line="321" w:lineRule="auto"/>
        <w:sectPr>
          <w:pgSz w:w="11910" w:h="16840"/>
          <w:pgMar w:header="0" w:footer="1302" w:top="1380" w:bottom="1500" w:left="1220" w:right="1160"/>
        </w:sectPr>
      </w:pPr>
    </w:p>
    <w:p>
      <w:pPr>
        <w:pStyle w:val="Heading1"/>
        <w:spacing w:line="516" w:lineRule="exact"/>
        <w:ind w:left="3689"/>
      </w:pPr>
      <w:r>
        <w:rPr/>
        <w:t>第十章 管理与监督</w:t>
      </w:r>
    </w:p>
    <w:p>
      <w:pPr>
        <w:pStyle w:val="BodyText"/>
        <w:spacing w:before="62"/>
        <w:ind w:left="1010"/>
      </w:pPr>
      <w:r>
        <w:rPr/>
        <w:t>一、建立联动监管工作机制</w:t>
      </w:r>
    </w:p>
    <w:p>
      <w:pPr>
        <w:pStyle w:val="BodyText"/>
        <w:spacing w:line="321" w:lineRule="auto" w:before="137"/>
        <w:ind w:right="112" w:firstLine="640"/>
      </w:pPr>
      <w:r>
        <w:rPr/>
        <w:t>建立市、县（市、区）上下联动、分级监管的工作机制， 市负责集中采购的组织实施和监管，市、县（市、区）负责辖 区内医疗卫生机构医用耗材和检验检测试剂采购、配送的监管。主要包括：对签订购销合同及履行情况的监督，防止目录外采 购、网下采购或从非规定渠道采购；接受有关单位或个人对医 疗卫生机构、生产企业和配送企业违规行为的举报，并核查处 理。</w:t>
      </w:r>
    </w:p>
    <w:p>
      <w:pPr>
        <w:pStyle w:val="BodyText"/>
        <w:spacing w:line="410" w:lineRule="exact"/>
        <w:ind w:left="1010"/>
      </w:pPr>
      <w:r>
        <w:rPr/>
        <w:t>二、健全信息公开和诚信记录制度</w:t>
      </w:r>
    </w:p>
    <w:p>
      <w:pPr>
        <w:pStyle w:val="BodyText"/>
        <w:spacing w:line="321" w:lineRule="auto" w:before="140"/>
        <w:ind w:right="112" w:firstLine="640"/>
      </w:pPr>
      <w:r>
        <w:rPr/>
        <w:t>对生产经营企业在采购过程中提供虚假证明文件或以其他 方式弄虚作假，以低于成本的价格恶意报价，扰乱市场秩序， 相互串通报价，妨碍公平竞争，产品入围后予以放弃，拒不签订购销合同及拒不供货的，供应质量不达标的医用耗材和检验检测试剂，擅自提供未入围产品替代入围产品，未按合同规定及时配送供货，擅自涨价，向采购机构、医疗卫生机构或个人进行贿赂或变相贿赂的，一律列入不良记录并予以公示，根据相关规定予以市场清退，对违反相关法律法规的，要依法惩处。</w:t>
      </w:r>
    </w:p>
    <w:p>
      <w:pPr>
        <w:pStyle w:val="BodyText"/>
        <w:spacing w:line="407" w:lineRule="exact"/>
        <w:ind w:left="1010"/>
      </w:pPr>
      <w:r>
        <w:rPr/>
        <w:t>三、加强日常监督和管理</w:t>
      </w:r>
    </w:p>
    <w:p>
      <w:pPr>
        <w:pStyle w:val="BodyText"/>
        <w:spacing w:line="321" w:lineRule="auto" w:before="140"/>
        <w:ind w:right="112" w:firstLine="640"/>
      </w:pPr>
      <w:r>
        <w:rPr>
          <w:spacing w:val="4"/>
        </w:rPr>
        <w:t>（一）</w:t>
      </w:r>
      <w:r>
        <w:rPr/>
        <w:t>各级卫生计生行政部门及其他相关部门通过采购平 台提供的网上监管系统，对采购双方的购销行为实行实时监控， 对医疗卫生机构采购医用耗材和检验检测试剂的品种、数量、价格、使用以及医用耗材和检验检测试剂生产经营企业供货、配送等情况进行动态监管。定期或不定期现场检查分析医疗卫生机构实际采购、使用和回款情况，并与网上采购情况进行对</w:t>
      </w:r>
    </w:p>
    <w:p>
      <w:pPr>
        <w:spacing w:after="0" w:line="321" w:lineRule="auto"/>
        <w:sectPr>
          <w:pgSz w:w="11910" w:h="16840"/>
          <w:pgMar w:header="0" w:footer="1302" w:top="1380" w:bottom="1500" w:left="1220" w:right="1160"/>
        </w:sectPr>
      </w:pPr>
    </w:p>
    <w:p>
      <w:pPr>
        <w:pStyle w:val="BodyText"/>
        <w:spacing w:before="29"/>
      </w:pPr>
      <w:r>
        <w:rPr/>
        <w:t>比分析。</w:t>
      </w:r>
    </w:p>
    <w:p>
      <w:pPr>
        <w:pStyle w:val="BodyText"/>
        <w:spacing w:line="321" w:lineRule="auto" w:before="140"/>
        <w:ind w:right="429" w:firstLine="640"/>
        <w:jc w:val="both"/>
      </w:pPr>
      <w:r>
        <w:rPr/>
        <w:t>（二）各级卫生计生行政部门对医疗卫生机构医用耗材和</w:t>
      </w:r>
      <w:r>
        <w:rPr>
          <w:w w:val="95"/>
        </w:rPr>
        <w:t>检验检测试剂集中采购的执行情况实行定期考核，纳入目标管 </w:t>
      </w:r>
      <w:r>
        <w:rPr/>
        <w:t>理，并接受社会监督。</w:t>
      </w:r>
    </w:p>
    <w:p>
      <w:pPr>
        <w:pStyle w:val="BodyText"/>
        <w:spacing w:line="321" w:lineRule="auto"/>
        <w:ind w:right="41" w:firstLine="640"/>
      </w:pPr>
      <w:r>
        <w:rPr/>
        <w:t>（三） 医疗卫生机构必须通过采购平台采购医用耗材和检验检测试剂，并与生产经营企业签署《医疗卫生机构医药产品廉洁购销合同》。不得与企业订立背离合同实质性内容的其他协议，牟取不正当利益。对违反规定的人员，按有关规定处理， 涉嫌犯罪的，移交司法机关依法处理。</w:t>
      </w:r>
    </w:p>
    <w:p>
      <w:pPr>
        <w:pStyle w:val="BodyText"/>
        <w:spacing w:line="409" w:lineRule="exact"/>
        <w:ind w:left="1010"/>
      </w:pPr>
      <w:r>
        <w:rPr/>
        <w:t>四、建立价格动态调整机制</w:t>
      </w:r>
    </w:p>
    <w:p>
      <w:pPr>
        <w:pStyle w:val="BodyText"/>
        <w:spacing w:line="321" w:lineRule="auto" w:before="137"/>
        <w:ind w:right="420" w:firstLine="640"/>
        <w:jc w:val="both"/>
      </w:pPr>
      <w:r>
        <w:rPr/>
        <w:t>在采购周期内，如发现本省或邻近省份相同企业相同产品</w:t>
      </w:r>
      <w:r>
        <w:rPr>
          <w:w w:val="95"/>
        </w:rPr>
        <w:t>采购价格明显低于本市入围价格的，进行就低调平处理，集中 </w:t>
      </w:r>
      <w:r>
        <w:rPr/>
        <w:t>采购周期内原则上不允许上调产品网上交易价格。</w:t>
      </w:r>
    </w:p>
    <w:p>
      <w:pPr>
        <w:spacing w:after="0" w:line="321" w:lineRule="auto"/>
        <w:jc w:val="both"/>
        <w:sectPr>
          <w:pgSz w:w="11910" w:h="16840"/>
          <w:pgMar w:header="0" w:footer="1302" w:top="1380" w:bottom="1500" w:left="1220" w:right="1160"/>
        </w:sectPr>
      </w:pPr>
    </w:p>
    <w:p>
      <w:pPr>
        <w:pStyle w:val="BodyText"/>
        <w:spacing w:line="280" w:lineRule="auto" w:before="39"/>
        <w:ind w:right="1799"/>
        <w:rPr>
          <w:rFonts w:ascii="仿宋" w:eastAsia="仿宋" w:hint="eastAsia"/>
        </w:rPr>
      </w:pPr>
      <w:r>
        <w:rPr>
          <w:rFonts w:ascii="仿宋" w:eastAsia="仿宋" w:hint="eastAsia"/>
        </w:rPr>
        <w:t>附件 1：医用耗材和检验检测试剂集中采购工作流程附件 2：采购目录类别</w:t>
      </w:r>
    </w:p>
    <w:p>
      <w:pPr>
        <w:pStyle w:val="BodyText"/>
        <w:spacing w:line="278" w:lineRule="auto"/>
        <w:ind w:right="4998"/>
        <w:rPr>
          <w:rFonts w:ascii="仿宋" w:eastAsia="仿宋" w:hint="eastAsia"/>
        </w:rPr>
      </w:pPr>
      <w:r>
        <w:rPr>
          <w:rFonts w:ascii="仿宋" w:eastAsia="仿宋" w:hint="eastAsia"/>
        </w:rPr>
        <w:t>附件 3：集中采购日程安排附件 4：经济技术评审指标表附件 5：商务评审指标表</w:t>
      </w:r>
    </w:p>
    <w:p>
      <w:pPr>
        <w:spacing w:after="0" w:line="278" w:lineRule="auto"/>
        <w:rPr>
          <w:rFonts w:ascii="仿宋" w:eastAsia="仿宋" w:hint="eastAsia"/>
        </w:rPr>
        <w:sectPr>
          <w:pgSz w:w="11910" w:h="16840"/>
          <w:pgMar w:header="0" w:footer="1302" w:top="1360" w:bottom="1500" w:left="1220" w:right="1160"/>
        </w:sectPr>
      </w:pPr>
    </w:p>
    <w:p>
      <w:pPr>
        <w:pStyle w:val="BodyText"/>
        <w:spacing w:before="49"/>
      </w:pPr>
      <w:r>
        <w:rPr/>
        <w:pict>
          <v:group style="position:absolute;margin-left:249.162277pt;margin-top:236.959702pt;width:5.5pt;height:14.2pt;mso-position-horizontal-relative:page;mso-position-vertical-relative:page;z-index:1456" coordorigin="4983,4739" coordsize="110,284">
            <v:line style="position:absolute" from="5038,4739" to="5038,4926" stroked="true" strokeweight=".237139pt" strokecolor="#000000">
              <v:stroke dashstyle="solid"/>
            </v:line>
            <v:shape style="position:absolute;left:4983;top:4912;width:110;height:111" coordorigin="4983,4912" coordsize="110,111" path="m5092,4912l4983,4912,5038,5022,5092,4912xe" filled="true" fillcolor="#000000" stroked="false">
              <v:path arrowok="t"/>
              <v:fill type="solid"/>
            </v:shape>
            <w10:wrap type="none"/>
          </v:group>
        </w:pict>
      </w:r>
      <w:r>
        <w:rPr/>
        <w:pict>
          <v:group style="position:absolute;margin-left:249.162277pt;margin-top:279.432892pt;width:5.5pt;height:14.2pt;mso-position-horizontal-relative:page;mso-position-vertical-relative:page;z-index:1480" coordorigin="4983,5589" coordsize="110,284">
            <v:line style="position:absolute" from="5038,5589" to="5038,5775" stroked="true" strokeweight=".237139pt" strokecolor="#000000">
              <v:stroke dashstyle="solid"/>
            </v:line>
            <v:shape style="position:absolute;left:4983;top:5761;width:110;height:111" coordorigin="4983,5761" coordsize="110,111" path="m5092,5761l4983,5761,5038,5872,5092,5761xe" filled="true" fillcolor="#000000" stroked="false">
              <v:path arrowok="t"/>
              <v:fill type="solid"/>
            </v:shape>
            <w10:wrap type="none"/>
          </v:group>
        </w:pict>
      </w:r>
      <w:r>
        <w:rPr/>
        <w:pict>
          <v:group style="position:absolute;margin-left:249.162277pt;margin-top:321.906067pt;width:5.5pt;height:14.2pt;mso-position-horizontal-relative:page;mso-position-vertical-relative:page;z-index:1504" coordorigin="4983,6438" coordsize="110,284">
            <v:line style="position:absolute" from="5038,6438" to="5038,6625" stroked="true" strokeweight=".237139pt" strokecolor="#000000">
              <v:stroke dashstyle="solid"/>
            </v:line>
            <v:shape style="position:absolute;left:4983;top:6610;width:110;height:111" coordorigin="4983,6611" coordsize="110,111" path="m5092,6611l4983,6611,5038,6721,5092,6611xe" filled="true" fillcolor="#000000" stroked="false">
              <v:path arrowok="t"/>
              <v:fill type="solid"/>
            </v:shape>
            <w10:wrap type="none"/>
          </v:group>
        </w:pict>
      </w:r>
      <w:r>
        <w:rPr/>
        <w:pict>
          <v:group style="position:absolute;margin-left:331.721344pt;margin-top:364.26355pt;width:112.2pt;height:45.35pt;mso-position-horizontal-relative:page;mso-position-vertical-relative:page;z-index:1552" coordorigin="6634,7285" coordsize="2244,907">
            <v:shape style="position:absolute;left:6729;top:7853;width:1446;height:284" coordorigin="6730,7854" coordsize="1446,284" path="m8175,7854l8175,8137,6730,8137e" filled="false" stroked="true" strokeweight=".239621pt" strokecolor="#000000">
              <v:path arrowok="t"/>
              <v:stroke dashstyle="solid"/>
            </v:shape>
            <v:shape style="position:absolute;left:6634;top:8081;width:110;height:111" coordorigin="6634,8082" coordsize="110,111" path="m6744,8082l6634,8137,6744,8192,6744,8082xe" filled="true" fillcolor="#000000" stroked="false">
              <v:path arrowok="t"/>
              <v:fill type="solid"/>
            </v:shape>
            <v:shape style="position:absolute;left:7474;top:7287;width:1401;height:567" type="#_x0000_t202" filled="false" stroked="true" strokeweight=".23938pt" strokecolor="#000000">
              <v:textbox inset="0,0,0,0">
                <w:txbxContent>
                  <w:p>
                    <w:pPr>
                      <w:spacing w:before="112"/>
                      <w:ind w:left="104" w:right="0" w:firstLine="0"/>
                      <w:jc w:val="left"/>
                      <w:rPr>
                        <w:sz w:val="24"/>
                      </w:rPr>
                    </w:pPr>
                    <w:r>
                      <w:rPr>
                        <w:sz w:val="24"/>
                      </w:rPr>
                      <w:t>制定上限价</w:t>
                    </w:r>
                  </w:p>
                </w:txbxContent>
              </v:textbox>
              <v:stroke dashstyle="solid"/>
              <w10:wrap type="none"/>
            </v:shape>
            <w10:wrap type="none"/>
          </v:group>
        </w:pict>
      </w:r>
      <w:r>
        <w:rPr/>
        <w:pict>
          <v:group style="position:absolute;margin-left:249.162277pt;margin-top:421.006836pt;width:5.5pt;height:14.2pt;mso-position-horizontal-relative:page;mso-position-vertical-relative:page;z-index:1576" coordorigin="4983,8420" coordsize="110,284">
            <v:line style="position:absolute" from="5038,8420" to="5038,8607" stroked="true" strokeweight=".237139pt" strokecolor="#000000">
              <v:stroke dashstyle="solid"/>
            </v:line>
            <v:shape style="position:absolute;left:4983;top:8593;width:110;height:111" coordorigin="4983,8593" coordsize="110,111" path="m5092,8593l4983,8593,5038,8703,5092,8593xe" filled="true" fillcolor="#000000" stroked="false">
              <v:path arrowok="t"/>
              <v:fill type="solid"/>
            </v:shape>
            <w10:wrap type="none"/>
          </v:group>
        </w:pict>
      </w:r>
      <w:r>
        <w:rPr/>
        <w:pict>
          <v:group style="position:absolute;margin-left:249.162277pt;margin-top:463.480011pt;width:5.5pt;height:14.2pt;mso-position-horizontal-relative:page;mso-position-vertical-relative:page;z-index:1600" coordorigin="4983,9270" coordsize="110,284">
            <v:line style="position:absolute" from="5038,9270" to="5038,9456" stroked="true" strokeweight=".237139pt" strokecolor="#000000">
              <v:stroke dashstyle="solid"/>
            </v:line>
            <v:shape style="position:absolute;left:4983;top:9442;width:110;height:111" coordorigin="4983,9443" coordsize="110,111" path="m5092,9443l4983,9443,5038,9553,5092,9443xe" filled="true" fillcolor="#000000" stroked="false">
              <v:path arrowok="t"/>
              <v:fill type="solid"/>
            </v:shape>
            <w10:wrap type="none"/>
          </v:group>
        </w:pict>
      </w:r>
      <w:r>
        <w:rPr/>
        <w:pict>
          <v:group style="position:absolute;margin-left:249.162277pt;margin-top:505.953217pt;width:5.5pt;height:14.2pt;mso-position-horizontal-relative:page;mso-position-vertical-relative:page;z-index:1624" coordorigin="4983,10119" coordsize="110,284">
            <v:line style="position:absolute" from="5038,10119" to="5038,10306" stroked="true" strokeweight=".237139pt" strokecolor="#000000">
              <v:stroke dashstyle="solid"/>
            </v:line>
            <v:shape style="position:absolute;left:4983;top:10292;width:110;height:111" coordorigin="4983,10292" coordsize="110,111" path="m5092,10292l4983,10292,5038,10402,5092,10292xe" filled="true" fillcolor="#000000" stroked="false">
              <v:path arrowok="t"/>
              <v:fill type="solid"/>
            </v:shape>
            <w10:wrap type="none"/>
          </v:group>
        </w:pict>
      </w:r>
      <w:r>
        <w:rPr/>
        <w:pict>
          <v:group style="position:absolute;margin-left:249.162277pt;margin-top:548.426392pt;width:5.5pt;height:14.2pt;mso-position-horizontal-relative:page;mso-position-vertical-relative:page;z-index:1648" coordorigin="4983,10969" coordsize="110,284">
            <v:line style="position:absolute" from="5038,10969" to="5038,11155" stroked="true" strokeweight=".237139pt" strokecolor="#000000">
              <v:stroke dashstyle="solid"/>
            </v:line>
            <v:shape style="position:absolute;left:4983;top:11141;width:110;height:111" coordorigin="4983,11142" coordsize="110,111" path="m5092,11142l4983,11142,5038,11252,5092,11142xe" filled="true" fillcolor="#000000" stroked="false">
              <v:path arrowok="t"/>
              <v:fill type="solid"/>
            </v:shape>
            <w10:wrap type="none"/>
          </v:group>
        </w:pict>
      </w:r>
      <w:r>
        <w:rPr/>
        <w:pict>
          <v:group style="position:absolute;margin-left:249.162277pt;margin-top:590.899597pt;width:5.5pt;height:14.2pt;mso-position-horizontal-relative:page;mso-position-vertical-relative:page;z-index:1672" coordorigin="4983,11818" coordsize="110,284">
            <v:line style="position:absolute" from="5038,11818" to="5038,12005" stroked="true" strokeweight=".237139pt" strokecolor="#000000">
              <v:stroke dashstyle="solid"/>
            </v:line>
            <v:shape style="position:absolute;left:4983;top:11991;width:110;height:111" coordorigin="4983,11991" coordsize="110,111" path="m5092,11991l4983,11991,5038,12101,5092,11991xe" filled="true" fillcolor="#000000" stroked="false">
              <v:path arrowok="t"/>
              <v:fill type="solid"/>
            </v:shape>
            <w10:wrap type="none"/>
          </v:group>
        </w:pict>
      </w:r>
      <w:r>
        <w:rPr/>
        <w:pict>
          <v:group style="position:absolute;margin-left:249.162277pt;margin-top:633.372742pt;width:5.5pt;height:14.2pt;mso-position-horizontal-relative:page;mso-position-vertical-relative:page;z-index:1696" coordorigin="4983,12667" coordsize="110,284">
            <v:line style="position:absolute" from="5038,12667" to="5038,12854" stroked="true" strokeweight=".237139pt" strokecolor="#000000">
              <v:stroke dashstyle="solid"/>
            </v:line>
            <v:shape style="position:absolute;left:4983;top:12840;width:110;height:111" coordorigin="4983,12840" coordsize="110,111" path="m5092,12840l4983,12840,5038,12951,5092,12840xe" filled="true" fillcolor="#000000" stroked="false">
              <v:path arrowok="t"/>
              <v:fill type="solid"/>
            </v:shape>
            <w10:wrap type="none"/>
          </v:group>
        </w:pict>
      </w:r>
      <w:r>
        <w:rPr/>
        <w:pict>
          <v:group style="position:absolute;margin-left:249.162277pt;margin-top:675.847961pt;width:5.5pt;height:14.2pt;mso-position-horizontal-relative:page;mso-position-vertical-relative:page;z-index:1720" coordorigin="4983,13517" coordsize="110,284">
            <v:line style="position:absolute" from="5038,13517" to="5038,13704" stroked="true" strokeweight=".237139pt" strokecolor="#000000">
              <v:stroke dashstyle="solid"/>
            </v:line>
            <v:shape style="position:absolute;left:4983;top:13689;width:110;height:111" coordorigin="4983,13690" coordsize="110,111" path="m5092,13690l4983,13690,5038,13800,5092,13690xe" filled="true" fillcolor="#000000" stroked="false">
              <v:path arrowok="t"/>
              <v:fill type="solid"/>
            </v:shape>
            <w10:wrap type="none"/>
          </v:group>
        </w:pict>
      </w:r>
      <w:r>
        <w:rPr/>
        <w:pict>
          <v:group style="position:absolute;margin-left:249.162277pt;margin-top:718.321106pt;width:5.5pt;height:14.2pt;mso-position-horizontal-relative:page;mso-position-vertical-relative:page;z-index:1744" coordorigin="4983,14366" coordsize="110,284">
            <v:line style="position:absolute" from="5038,14366" to="5038,14553" stroked="true" strokeweight=".237139pt" strokecolor="#000000">
              <v:stroke dashstyle="solid"/>
            </v:line>
            <v:shape style="position:absolute;left:4983;top:14539;width:110;height:111" coordorigin="4983,14539" coordsize="110,111" path="m5092,14539l4983,14539,5038,14650,5092,14539xe" filled="true" fillcolor="#000000" stroked="false">
              <v:path arrowok="t"/>
              <v:fill type="solid"/>
            </v:shape>
            <w10:wrap type="none"/>
          </v:group>
        </w:pict>
      </w:r>
      <w:r>
        <w:rPr/>
        <w:t>附件 </w:t>
      </w:r>
      <w:r>
        <w:rPr>
          <w:rFonts w:ascii="Times New Roman" w:eastAsia="Times New Roman"/>
        </w:rPr>
        <w:t>1</w:t>
      </w:r>
      <w:r>
        <w:rPr/>
        <w:t>：</w:t>
      </w:r>
    </w:p>
    <w:p>
      <w:pPr>
        <w:pStyle w:val="BodyText"/>
        <w:spacing w:before="68"/>
        <w:ind w:left="1693"/>
      </w:pPr>
      <w:r>
        <w:rPr/>
        <w:pict>
          <v:group style="position:absolute;margin-left:249.162277pt;margin-top:60.15332pt;width:5.5pt;height:14.2pt;mso-position-horizontal-relative:page;mso-position-vertical-relative:paragraph;z-index:1408" coordorigin="4983,1203" coordsize="110,284">
            <v:line style="position:absolute" from="5038,1203" to="5038,1390" stroked="true" strokeweight=".237139pt" strokecolor="#000000">
              <v:stroke dashstyle="solid"/>
            </v:line>
            <v:shape style="position:absolute;left:4983;top:1376;width:110;height:111" coordorigin="4983,1376" coordsize="110,111" path="m5092,1376l4983,1376,5038,1486,5092,1376xe" filled="true" fillcolor="#000000" stroked="false">
              <v:path arrowok="t"/>
              <v:fill type="solid"/>
            </v:shape>
            <w10:wrap type="none"/>
          </v:group>
        </w:pict>
      </w:r>
      <w:r>
        <w:rPr/>
        <w:pict>
          <v:group style="position:absolute;margin-left:249.162277pt;margin-top:102.626511pt;width:5.5pt;height:14.2pt;mso-position-horizontal-relative:page;mso-position-vertical-relative:paragraph;z-index:1432" coordorigin="4983,2053" coordsize="110,284">
            <v:line style="position:absolute" from="5038,2053" to="5038,2239" stroked="true" strokeweight=".237139pt" strokecolor="#000000">
              <v:stroke dashstyle="solid"/>
            </v:line>
            <v:shape style="position:absolute;left:4983;top:2225;width:110;height:111" coordorigin="4983,2226" coordsize="110,111" path="m5092,2226l4983,2226,5038,2336,5092,2226xe" filled="true" fillcolor="#000000" stroked="false">
              <v:path arrowok="t"/>
              <v:fill type="solid"/>
            </v:shape>
            <w10:wrap type="none"/>
          </v:group>
        </w:pict>
      </w:r>
      <w:r>
        <w:rPr/>
        <w:t>医用耗材和检验检测试剂集中采购工作流程</w:t>
      </w:r>
    </w:p>
    <w:p>
      <w:pPr>
        <w:pStyle w:val="BodyText"/>
        <w:spacing w:before="1"/>
        <w:ind w:left="0"/>
        <w:rPr>
          <w:sz w:val="9"/>
        </w:rPr>
      </w:pPr>
      <w:r>
        <w:rPr/>
        <w:pict>
          <v:shape style="position:absolute;margin-left:172.058838pt;margin-top:7.928558pt;width:159.7pt;height:28.35pt;mso-position-horizontal-relative:page;mso-position-vertical-relative:paragraph;z-index:-1024;mso-wrap-distance-left:0;mso-wrap-distance-right:0" type="#_x0000_t202" filled="false" stroked="true" strokeweight=".239659pt" strokecolor="#000000">
            <v:textbox inset="0,0,0,0">
              <w:txbxContent>
                <w:p>
                  <w:pPr>
                    <w:spacing w:before="112"/>
                    <w:ind w:left="882" w:right="0" w:firstLine="0"/>
                    <w:jc w:val="left"/>
                    <w:rPr>
                      <w:sz w:val="24"/>
                    </w:rPr>
                  </w:pPr>
                  <w:r>
                    <w:rPr>
                      <w:sz w:val="24"/>
                    </w:rPr>
                    <w:t>发布采购公告</w:t>
                  </w:r>
                </w:p>
              </w:txbxContent>
            </v:textbox>
            <v:stroke dashstyle="solid"/>
            <w10:wrap type="topAndBottom"/>
          </v:shape>
        </w:pict>
      </w:r>
      <w:r>
        <w:rPr/>
        <w:pict>
          <v:shape style="position:absolute;margin-left:172.058838pt;margin-top:50.401745pt;width:159.7pt;height:28.35pt;mso-position-horizontal-relative:page;mso-position-vertical-relative:paragraph;z-index:-1000;mso-wrap-distance-left:0;mso-wrap-distance-right:0" type="#_x0000_t202" filled="false" stroked="true" strokeweight=".239659pt" strokecolor="#000000">
            <v:textbox inset="0,0,0,0">
              <w:txbxContent>
                <w:p>
                  <w:pPr>
                    <w:spacing w:before="112"/>
                    <w:ind w:left="882" w:right="0" w:firstLine="0"/>
                    <w:jc w:val="left"/>
                    <w:rPr>
                      <w:sz w:val="24"/>
                    </w:rPr>
                  </w:pPr>
                  <w:r>
                    <w:rPr>
                      <w:sz w:val="24"/>
                    </w:rPr>
                    <w:t>发售采购文件</w:t>
                  </w:r>
                </w:p>
              </w:txbxContent>
            </v:textbox>
            <v:stroke dashstyle="solid"/>
            <w10:wrap type="topAndBottom"/>
          </v:shape>
        </w:pict>
      </w:r>
      <w:r>
        <w:rPr/>
        <w:pict>
          <v:shape style="position:absolute;margin-left:172.058838pt;margin-top:92.874931pt;width:159.7pt;height:28.35pt;mso-position-horizontal-relative:page;mso-position-vertical-relative:paragraph;z-index:-976;mso-wrap-distance-left:0;mso-wrap-distance-right:0" type="#_x0000_t202" filled="false" stroked="true" strokeweight=".239659pt" strokecolor="#000000">
            <v:textbox inset="0,0,0,0">
              <w:txbxContent>
                <w:p>
                  <w:pPr>
                    <w:spacing w:before="112"/>
                    <w:ind w:left="1094" w:right="1094" w:firstLine="0"/>
                    <w:jc w:val="center"/>
                    <w:rPr>
                      <w:sz w:val="24"/>
                    </w:rPr>
                  </w:pPr>
                  <w:r>
                    <w:rPr>
                      <w:sz w:val="24"/>
                    </w:rPr>
                    <w:t>企业申报</w:t>
                  </w:r>
                </w:p>
              </w:txbxContent>
            </v:textbox>
            <v:stroke dashstyle="solid"/>
            <w10:wrap type="topAndBottom"/>
          </v:shape>
        </w:pict>
      </w:r>
      <w:r>
        <w:rPr/>
        <w:pict>
          <v:shape style="position:absolute;margin-left:172.058838pt;margin-top:135.348114pt;width:159.7pt;height:28.35pt;mso-position-horizontal-relative:page;mso-position-vertical-relative:paragraph;z-index:-952;mso-wrap-distance-left:0;mso-wrap-distance-right:0" type="#_x0000_t202" filled="false" stroked="true" strokeweight=".239659pt" strokecolor="#000000">
            <v:textbox inset="0,0,0,0">
              <w:txbxContent>
                <w:p>
                  <w:pPr>
                    <w:spacing w:before="112"/>
                    <w:ind w:left="645" w:right="0" w:firstLine="0"/>
                    <w:jc w:val="left"/>
                    <w:rPr>
                      <w:sz w:val="24"/>
                    </w:rPr>
                  </w:pPr>
                  <w:r>
                    <w:rPr>
                      <w:sz w:val="24"/>
                    </w:rPr>
                    <w:t>企业申报资格审定</w:t>
                  </w:r>
                </w:p>
              </w:txbxContent>
            </v:textbox>
            <v:stroke dashstyle="solid"/>
            <w10:wrap type="topAndBottom"/>
          </v:shape>
        </w:pict>
      </w:r>
      <w:r>
        <w:rPr/>
        <w:pict>
          <v:shape style="position:absolute;margin-left:172.058838pt;margin-top:177.821304pt;width:159.7pt;height:28.35pt;mso-position-horizontal-relative:page;mso-position-vertical-relative:paragraph;z-index:-928;mso-wrap-distance-left:0;mso-wrap-distance-right:0" type="#_x0000_t202" filled="false" stroked="true" strokeweight=".239659pt" strokecolor="#000000">
            <v:textbox inset="0,0,0,0">
              <w:txbxContent>
                <w:p>
                  <w:pPr>
                    <w:spacing w:before="112"/>
                    <w:ind w:left="882" w:right="0" w:firstLine="0"/>
                    <w:jc w:val="left"/>
                    <w:rPr>
                      <w:sz w:val="24"/>
                    </w:rPr>
                  </w:pPr>
                  <w:r>
                    <w:rPr>
                      <w:sz w:val="24"/>
                    </w:rPr>
                    <w:t>材料资质审核</w:t>
                  </w:r>
                </w:p>
              </w:txbxContent>
            </v:textbox>
            <v:stroke dashstyle="solid"/>
            <w10:wrap type="topAndBottom"/>
          </v:shape>
        </w:pict>
      </w:r>
      <w:r>
        <w:rPr/>
        <w:pict>
          <v:group style="position:absolute;margin-left:171.939011pt;margin-top:220.174652pt;width:239.55pt;height:28.6pt;mso-position-horizontal-relative:page;mso-position-vertical-relative:paragraph;z-index:-880;mso-wrap-distance-left:0;mso-wrap-distance-right:0" coordorigin="3439,4403" coordsize="4791,572">
            <v:shape style="position:absolute;left:6634;top:4689;width:1541;height:187" coordorigin="6634,4689" coordsize="1541,187" path="m6634,4689l8175,4689,8175,4876e" filled="false" stroked="true" strokeweight=".239679pt" strokecolor="#000000">
              <v:path arrowok="t"/>
              <v:stroke dashstyle="solid"/>
            </v:shape>
            <v:shape style="position:absolute;left:8120;top:4861;width:110;height:111" coordorigin="8120,4862" coordsize="110,111" path="m8230,4862l8120,4862,8175,4972,8230,4862xe" filled="true" fillcolor="#000000" stroked="false">
              <v:path arrowok="t"/>
              <v:fill type="solid"/>
            </v:shape>
            <v:shape style="position:absolute;left:3441;top:4405;width:3194;height:567" type="#_x0000_t202" filled="false" stroked="true" strokeweight=".239659pt" strokecolor="#000000">
              <v:textbox inset="0,0,0,0">
                <w:txbxContent>
                  <w:p>
                    <w:pPr>
                      <w:spacing w:before="112"/>
                      <w:ind w:left="645" w:right="0" w:firstLine="0"/>
                      <w:jc w:val="left"/>
                      <w:rPr>
                        <w:sz w:val="24"/>
                      </w:rPr>
                    </w:pPr>
                    <w:r>
                      <w:rPr>
                        <w:sz w:val="24"/>
                      </w:rPr>
                      <w:t>企业网上信息确认</w:t>
                    </w:r>
                  </w:p>
                </w:txbxContent>
              </v:textbox>
              <v:stroke dashstyle="solid"/>
              <w10:wrap type="none"/>
            </v:shape>
            <w10:wrap type="topAndBottom"/>
          </v:group>
        </w:pict>
      </w:r>
    </w:p>
    <w:p>
      <w:pPr>
        <w:pStyle w:val="BodyText"/>
        <w:spacing w:before="4"/>
        <w:ind w:left="0"/>
        <w:rPr>
          <w:sz w:val="16"/>
        </w:rPr>
      </w:pPr>
    </w:p>
    <w:p>
      <w:pPr>
        <w:pStyle w:val="BodyText"/>
        <w:spacing w:before="4"/>
        <w:ind w:left="0"/>
        <w:rPr>
          <w:sz w:val="16"/>
        </w:rPr>
      </w:pPr>
    </w:p>
    <w:p>
      <w:pPr>
        <w:pStyle w:val="BodyText"/>
        <w:spacing w:before="4"/>
        <w:ind w:left="0"/>
        <w:rPr>
          <w:sz w:val="16"/>
        </w:rPr>
      </w:pPr>
    </w:p>
    <w:p>
      <w:pPr>
        <w:pStyle w:val="BodyText"/>
        <w:spacing w:before="4"/>
        <w:ind w:left="0"/>
        <w:rPr>
          <w:sz w:val="16"/>
        </w:rPr>
      </w:pPr>
    </w:p>
    <w:p>
      <w:pPr>
        <w:pStyle w:val="BodyText"/>
        <w:spacing w:before="4"/>
        <w:ind w:left="0"/>
        <w:rPr>
          <w:sz w:val="16"/>
        </w:rPr>
      </w:pPr>
    </w:p>
    <w:p>
      <w:pPr>
        <w:pStyle w:val="BodyText"/>
        <w:ind w:left="0"/>
        <w:rPr>
          <w:sz w:val="20"/>
        </w:rPr>
      </w:pPr>
    </w:p>
    <w:p>
      <w:pPr>
        <w:pStyle w:val="BodyText"/>
        <w:spacing w:before="5"/>
        <w:ind w:left="0"/>
        <w:rPr>
          <w:sz w:val="18"/>
        </w:rPr>
      </w:pPr>
      <w:r>
        <w:rPr/>
        <w:pict>
          <v:shape style="position:absolute;margin-left:172.058838pt;margin-top:13.900292pt;width:159.7pt;height:28.35pt;mso-position-horizontal-relative:page;mso-position-vertical-relative:paragraph;z-index:-856;mso-wrap-distance-left:0;mso-wrap-distance-right:0" type="#_x0000_t202" filled="false" stroked="true" strokeweight=".239659pt" strokecolor="#000000">
            <v:textbox inset="0,0,0,0">
              <w:txbxContent>
                <w:p>
                  <w:pPr>
                    <w:spacing w:before="112"/>
                    <w:ind w:left="645" w:right="0" w:firstLine="0"/>
                    <w:jc w:val="left"/>
                    <w:rPr>
                      <w:sz w:val="24"/>
                    </w:rPr>
                  </w:pPr>
                  <w:r>
                    <w:rPr>
                      <w:sz w:val="24"/>
                    </w:rPr>
                    <w:t>企业网上报价解密</w:t>
                  </w:r>
                </w:p>
              </w:txbxContent>
            </v:textbox>
            <v:stroke dashstyle="solid"/>
            <w10:wrap type="topAndBottom"/>
          </v:shape>
        </w:pict>
      </w:r>
      <w:r>
        <w:rPr/>
        <w:pict>
          <v:shape style="position:absolute;margin-left:172.058838pt;margin-top:56.373478pt;width:159.7pt;height:28.35pt;mso-position-horizontal-relative:page;mso-position-vertical-relative:paragraph;z-index:-832;mso-wrap-distance-left:0;mso-wrap-distance-right:0" type="#_x0000_t202" filled="false" stroked="true" strokeweight=".239659pt" strokecolor="#000000">
            <v:textbox inset="0,0,0,0">
              <w:txbxContent>
                <w:p>
                  <w:pPr>
                    <w:spacing w:before="112"/>
                    <w:ind w:left="882" w:right="0" w:firstLine="0"/>
                    <w:jc w:val="left"/>
                    <w:rPr>
                      <w:sz w:val="24"/>
                    </w:rPr>
                  </w:pPr>
                  <w:r>
                    <w:rPr>
                      <w:sz w:val="24"/>
                    </w:rPr>
                    <w:t>经济技术评审</w:t>
                  </w:r>
                </w:p>
              </w:txbxContent>
            </v:textbox>
            <v:stroke dashstyle="solid"/>
            <w10:wrap type="topAndBottom"/>
          </v:shape>
        </w:pict>
      </w:r>
      <w:r>
        <w:rPr/>
        <w:pict>
          <v:shape style="position:absolute;margin-left:172.058838pt;margin-top:98.846664pt;width:159.7pt;height:28.35pt;mso-position-horizontal-relative:page;mso-position-vertical-relative:paragraph;z-index:-808;mso-wrap-distance-left:0;mso-wrap-distance-right:0" type="#_x0000_t202" filled="false" stroked="true" strokeweight=".239659pt" strokecolor="#000000">
            <v:textbox inset="0,0,0,0">
              <w:txbxContent>
                <w:p>
                  <w:pPr>
                    <w:spacing w:before="112"/>
                    <w:ind w:left="289" w:right="0" w:firstLine="0"/>
                    <w:jc w:val="left"/>
                    <w:rPr>
                      <w:sz w:val="24"/>
                    </w:rPr>
                  </w:pPr>
                  <w:r>
                    <w:rPr>
                      <w:sz w:val="24"/>
                    </w:rPr>
                    <w:t>公示经济技术标入围产品</w:t>
                  </w:r>
                </w:p>
              </w:txbxContent>
            </v:textbox>
            <v:stroke dashstyle="solid"/>
            <w10:wrap type="topAndBottom"/>
          </v:shape>
        </w:pict>
      </w:r>
      <w:r>
        <w:rPr/>
        <w:pict>
          <v:shape style="position:absolute;margin-left:172.058838pt;margin-top:141.319839pt;width:159.7pt;height:28.35pt;mso-position-horizontal-relative:page;mso-position-vertical-relative:paragraph;z-index:-784;mso-wrap-distance-left:0;mso-wrap-distance-right:0" type="#_x0000_t202" filled="false" stroked="true" strokeweight=".239659pt" strokecolor="#000000">
            <v:textbox inset="0,0,0,0">
              <w:txbxContent>
                <w:p>
                  <w:pPr>
                    <w:spacing w:before="112"/>
                    <w:ind w:left="1094" w:right="1094" w:firstLine="0"/>
                    <w:jc w:val="center"/>
                    <w:rPr>
                      <w:sz w:val="24"/>
                    </w:rPr>
                  </w:pPr>
                  <w:r>
                    <w:rPr>
                      <w:sz w:val="24"/>
                    </w:rPr>
                    <w:t>商务评审</w:t>
                  </w:r>
                </w:p>
              </w:txbxContent>
            </v:textbox>
            <v:stroke dashstyle="solid"/>
            <w10:wrap type="topAndBottom"/>
          </v:shape>
        </w:pict>
      </w:r>
      <w:r>
        <w:rPr/>
        <w:pict>
          <v:shape style="position:absolute;margin-left:172.058838pt;margin-top:183.79303pt;width:159.7pt;height:28.35pt;mso-position-horizontal-relative:page;mso-position-vertical-relative:paragraph;z-index:-760;mso-wrap-distance-left:0;mso-wrap-distance-right:0" type="#_x0000_t202" filled="false" stroked="true" strokeweight=".239659pt" strokecolor="#000000">
            <v:textbox inset="0,0,0,0">
              <w:txbxContent>
                <w:p>
                  <w:pPr>
                    <w:spacing w:before="112"/>
                    <w:ind w:left="645" w:right="0" w:firstLine="0"/>
                    <w:jc w:val="left"/>
                    <w:rPr>
                      <w:sz w:val="24"/>
                    </w:rPr>
                  </w:pPr>
                  <w:r>
                    <w:rPr>
                      <w:sz w:val="24"/>
                    </w:rPr>
                    <w:t>公布综合评审结果</w:t>
                  </w:r>
                </w:p>
              </w:txbxContent>
            </v:textbox>
            <v:stroke dashstyle="solid"/>
            <w10:wrap type="topAndBottom"/>
          </v:shape>
        </w:pict>
      </w:r>
      <w:r>
        <w:rPr/>
        <w:pict>
          <v:shape style="position:absolute;margin-left:172.058838pt;margin-top:226.26622pt;width:159.7pt;height:28.35pt;mso-position-horizontal-relative:page;mso-position-vertical-relative:paragraph;z-index:-736;mso-wrap-distance-left:0;mso-wrap-distance-right:0" type="#_x0000_t202" filled="false" stroked="true" strokeweight=".239659pt" strokecolor="#000000">
            <v:textbox inset="0,0,0,0">
              <w:txbxContent>
                <w:p>
                  <w:pPr>
                    <w:spacing w:before="112"/>
                    <w:ind w:left="408" w:right="0" w:firstLine="0"/>
                    <w:jc w:val="left"/>
                    <w:rPr>
                      <w:sz w:val="24"/>
                    </w:rPr>
                  </w:pPr>
                  <w:r>
                    <w:rPr>
                      <w:sz w:val="24"/>
                    </w:rPr>
                    <w:t>确定集中采购产品目录</w:t>
                  </w:r>
                </w:p>
              </w:txbxContent>
            </v:textbox>
            <v:stroke dashstyle="solid"/>
            <w10:wrap type="topAndBottom"/>
          </v:shape>
        </w:pict>
      </w:r>
      <w:r>
        <w:rPr/>
        <w:pict>
          <v:shape style="position:absolute;margin-left:172.058838pt;margin-top:268.741394pt;width:159.7pt;height:28.35pt;mso-position-horizontal-relative:page;mso-position-vertical-relative:paragraph;z-index:-712;mso-wrap-distance-left:0;mso-wrap-distance-right:0" type="#_x0000_t202" filled="false" stroked="true" strokeweight=".239659pt" strokecolor="#000000">
            <v:textbox inset="0,0,0,0">
              <w:txbxContent>
                <w:p>
                  <w:pPr>
                    <w:spacing w:before="112"/>
                    <w:ind w:left="408" w:right="0" w:firstLine="0"/>
                    <w:jc w:val="left"/>
                    <w:rPr>
                      <w:sz w:val="24"/>
                    </w:rPr>
                  </w:pPr>
                  <w:r>
                    <w:rPr>
                      <w:sz w:val="24"/>
                    </w:rPr>
                    <w:t>确定集中采购产品目录</w:t>
                  </w:r>
                </w:p>
              </w:txbxContent>
            </v:textbox>
            <v:stroke dashstyle="solid"/>
            <w10:wrap type="topAndBottom"/>
          </v:shape>
        </w:pict>
      </w:r>
      <w:r>
        <w:rPr/>
        <w:pict>
          <v:shape style="position:absolute;margin-left:172.058838pt;margin-top:311.214569pt;width:159.7pt;height:28.35pt;mso-position-horizontal-relative:page;mso-position-vertical-relative:paragraph;z-index:-688;mso-wrap-distance-left:0;mso-wrap-distance-right:0" type="#_x0000_t202" filled="false" stroked="true" strokeweight=".239659pt" strokecolor="#000000">
            <v:textbox inset="0,0,0,0">
              <w:txbxContent>
                <w:p>
                  <w:pPr>
                    <w:spacing w:before="112"/>
                    <w:ind w:left="645" w:right="0" w:firstLine="0"/>
                    <w:jc w:val="left"/>
                    <w:rPr>
                      <w:sz w:val="24"/>
                    </w:rPr>
                  </w:pPr>
                  <w:r>
                    <w:rPr>
                      <w:sz w:val="24"/>
                    </w:rPr>
                    <w:t>企业确定配送关系</w:t>
                  </w:r>
                </w:p>
              </w:txbxContent>
            </v:textbox>
            <v:stroke dashstyle="solid"/>
            <w10:wrap type="topAndBottom"/>
          </v:shape>
        </w:pict>
      </w:r>
      <w:r>
        <w:rPr/>
        <w:pict>
          <v:shape style="position:absolute;margin-left:172.058838pt;margin-top:353.687164pt;width:159.7pt;height:28.35pt;mso-position-horizontal-relative:page;mso-position-vertical-relative:paragraph;z-index:-664;mso-wrap-distance-left:0;mso-wrap-distance-right:0" type="#_x0000_t202" filled="false" stroked="true" strokeweight=".239659pt" strokecolor="#000000">
            <v:textbox inset="0,0,0,0">
              <w:txbxContent>
                <w:p>
                  <w:pPr>
                    <w:spacing w:before="112"/>
                    <w:ind w:left="764" w:right="0" w:firstLine="0"/>
                    <w:jc w:val="left"/>
                    <w:rPr>
                      <w:sz w:val="24"/>
                    </w:rPr>
                  </w:pPr>
                  <w:r>
                    <w:rPr>
                      <w:sz w:val="24"/>
                    </w:rPr>
                    <w:t>网上采购与配送</w:t>
                  </w:r>
                </w:p>
              </w:txbxContent>
            </v:textbox>
            <v:stroke dashstyle="solid"/>
            <w10:wrap type="topAndBottom"/>
          </v:shape>
        </w:pict>
      </w:r>
    </w:p>
    <w:p>
      <w:pPr>
        <w:pStyle w:val="BodyText"/>
        <w:spacing w:before="4"/>
        <w:ind w:left="0"/>
        <w:rPr>
          <w:sz w:val="16"/>
        </w:rPr>
      </w:pPr>
    </w:p>
    <w:p>
      <w:pPr>
        <w:pStyle w:val="BodyText"/>
        <w:spacing w:before="4"/>
        <w:ind w:left="0"/>
        <w:rPr>
          <w:sz w:val="16"/>
        </w:rPr>
      </w:pPr>
    </w:p>
    <w:p>
      <w:pPr>
        <w:pStyle w:val="BodyText"/>
        <w:spacing w:before="4"/>
        <w:ind w:left="0"/>
        <w:rPr>
          <w:sz w:val="16"/>
        </w:rPr>
      </w:pPr>
    </w:p>
    <w:p>
      <w:pPr>
        <w:pStyle w:val="BodyText"/>
        <w:spacing w:before="4"/>
        <w:ind w:left="0"/>
        <w:rPr>
          <w:sz w:val="16"/>
        </w:rPr>
      </w:pPr>
    </w:p>
    <w:p>
      <w:pPr>
        <w:pStyle w:val="BodyText"/>
        <w:spacing w:before="4"/>
        <w:ind w:left="0"/>
        <w:rPr>
          <w:sz w:val="16"/>
        </w:rPr>
      </w:pPr>
    </w:p>
    <w:p>
      <w:pPr>
        <w:pStyle w:val="BodyText"/>
        <w:spacing w:before="4"/>
        <w:ind w:left="0"/>
        <w:rPr>
          <w:sz w:val="16"/>
        </w:rPr>
      </w:pPr>
    </w:p>
    <w:p>
      <w:pPr>
        <w:pStyle w:val="BodyText"/>
        <w:spacing w:before="4"/>
        <w:ind w:left="0"/>
        <w:rPr>
          <w:sz w:val="16"/>
        </w:rPr>
      </w:pPr>
    </w:p>
    <w:p>
      <w:pPr>
        <w:pStyle w:val="BodyText"/>
        <w:spacing w:before="4"/>
        <w:ind w:left="0"/>
        <w:rPr>
          <w:sz w:val="16"/>
        </w:rPr>
      </w:pPr>
    </w:p>
    <w:p>
      <w:pPr>
        <w:spacing w:after="0"/>
        <w:rPr>
          <w:sz w:val="16"/>
        </w:rPr>
        <w:sectPr>
          <w:pgSz w:w="11910" w:h="16840"/>
          <w:pgMar w:header="0" w:footer="1302" w:top="1360" w:bottom="1500" w:left="1220" w:right="1160"/>
        </w:sectPr>
      </w:pPr>
    </w:p>
    <w:p>
      <w:pPr>
        <w:pStyle w:val="BodyText"/>
        <w:spacing w:before="49"/>
      </w:pPr>
      <w:r>
        <w:rPr/>
        <w:t>附件 </w:t>
      </w:r>
      <w:r>
        <w:rPr>
          <w:rFonts w:ascii="Times New Roman" w:eastAsia="Times New Roman"/>
        </w:rPr>
        <w:t>2</w:t>
      </w:r>
      <w:r>
        <w:rPr/>
        <w:t>：</w:t>
      </w:r>
    </w:p>
    <w:p>
      <w:pPr>
        <w:pStyle w:val="BodyText"/>
        <w:spacing w:before="10"/>
        <w:ind w:left="0"/>
        <w:rPr>
          <w:sz w:val="41"/>
        </w:rPr>
      </w:pPr>
    </w:p>
    <w:p>
      <w:pPr>
        <w:pStyle w:val="BodyText"/>
        <w:tabs>
          <w:tab w:pos="1185" w:val="left" w:leader="none"/>
        </w:tabs>
        <w:rPr>
          <w:rFonts w:ascii="仿宋" w:eastAsia="仿宋" w:hint="eastAsia"/>
        </w:rPr>
      </w:pPr>
      <w:r>
        <w:rPr>
          <w:rFonts w:ascii="仿宋" w:eastAsia="仿宋" w:hint="eastAsia"/>
        </w:rPr>
        <w:t>1、</w:t>
        <w:tab/>
        <w:t>注射穿刺类</w:t>
      </w:r>
    </w:p>
    <w:p>
      <w:pPr>
        <w:pStyle w:val="BodyText"/>
        <w:tabs>
          <w:tab w:pos="1185" w:val="left" w:leader="none"/>
        </w:tabs>
        <w:spacing w:before="5"/>
        <w:rPr>
          <w:rFonts w:ascii="仿宋" w:eastAsia="仿宋" w:hint="eastAsia"/>
        </w:rPr>
      </w:pPr>
      <w:r>
        <w:rPr>
          <w:rFonts w:ascii="仿宋" w:eastAsia="仿宋" w:hint="eastAsia"/>
        </w:rPr>
        <w:t>2、</w:t>
        <w:tab/>
        <w:t>医用高分子类</w:t>
      </w:r>
    </w:p>
    <w:p>
      <w:pPr>
        <w:pStyle w:val="BodyText"/>
        <w:tabs>
          <w:tab w:pos="1185" w:val="left" w:leader="none"/>
        </w:tabs>
        <w:spacing w:before="6"/>
        <w:rPr>
          <w:rFonts w:ascii="仿宋" w:eastAsia="仿宋" w:hint="eastAsia"/>
        </w:rPr>
      </w:pPr>
      <w:r>
        <w:rPr>
          <w:rFonts w:ascii="仿宋" w:eastAsia="仿宋" w:hint="eastAsia"/>
        </w:rPr>
        <w:t>3、</w:t>
        <w:tab/>
        <w:t>卫生材料及敷</w:t>
      </w:r>
      <w:r>
        <w:rPr>
          <w:rFonts w:ascii="仿宋" w:eastAsia="仿宋" w:hint="eastAsia"/>
          <w:spacing w:val="-20"/>
        </w:rPr>
        <w:t>料</w:t>
      </w:r>
    </w:p>
    <w:p>
      <w:pPr>
        <w:pStyle w:val="BodyText"/>
        <w:spacing w:before="1"/>
        <w:ind w:left="0"/>
        <w:rPr>
          <w:rFonts w:ascii="仿宋"/>
          <w:sz w:val="41"/>
        </w:rPr>
      </w:pPr>
      <w:r>
        <w:rPr/>
        <w:br w:type="column"/>
      </w:r>
      <w:r>
        <w:rPr>
          <w:rFonts w:ascii="仿宋"/>
          <w:sz w:val="41"/>
        </w:rPr>
      </w:r>
    </w:p>
    <w:p>
      <w:pPr>
        <w:pStyle w:val="BodyText"/>
        <w:ind w:left="313"/>
      </w:pPr>
      <w:r>
        <w:rPr/>
        <w:t>采购目录类别</w:t>
      </w:r>
    </w:p>
    <w:p>
      <w:pPr>
        <w:spacing w:after="0"/>
        <w:sectPr>
          <w:pgSz w:w="11910" w:h="16840"/>
          <w:pgMar w:header="0" w:footer="1302" w:top="1360" w:bottom="1500" w:left="1220" w:right="1160"/>
          <w:cols w:num="2" w:equalWidth="0">
            <w:col w:w="3422" w:space="40"/>
            <w:col w:w="6068"/>
          </w:cols>
        </w:sectPr>
      </w:pPr>
    </w:p>
    <w:p>
      <w:pPr>
        <w:pStyle w:val="BodyText"/>
        <w:tabs>
          <w:tab w:pos="1185" w:val="left" w:leader="none"/>
        </w:tabs>
        <w:spacing w:before="2"/>
        <w:rPr>
          <w:rFonts w:ascii="仿宋" w:eastAsia="仿宋" w:hint="eastAsia"/>
        </w:rPr>
      </w:pPr>
      <w:r>
        <w:rPr>
          <w:rFonts w:ascii="仿宋" w:eastAsia="仿宋" w:hint="eastAsia"/>
        </w:rPr>
        <w:t>4、</w:t>
        <w:tab/>
        <w:t>医用</w:t>
      </w:r>
      <w:r>
        <w:rPr>
          <w:rFonts w:ascii="仿宋" w:eastAsia="仿宋" w:hint="eastAsia"/>
          <w:spacing w:val="-80"/>
        </w:rPr>
        <w:t> </w:t>
      </w:r>
      <w:r>
        <w:rPr>
          <w:rFonts w:ascii="仿宋" w:eastAsia="仿宋" w:hint="eastAsia"/>
        </w:rPr>
        <w:t>X</w:t>
      </w:r>
      <w:r>
        <w:rPr>
          <w:rFonts w:ascii="仿宋" w:eastAsia="仿宋" w:hint="eastAsia"/>
          <w:spacing w:val="-79"/>
        </w:rPr>
        <w:t> </w:t>
      </w:r>
      <w:r>
        <w:rPr>
          <w:rFonts w:ascii="仿宋" w:eastAsia="仿宋" w:hint="eastAsia"/>
        </w:rPr>
        <w:t>射线附属耗材及医疗仪器用纸</w:t>
      </w:r>
    </w:p>
    <w:p>
      <w:pPr>
        <w:pStyle w:val="BodyText"/>
        <w:tabs>
          <w:tab w:pos="1185" w:val="left" w:leader="none"/>
        </w:tabs>
        <w:spacing w:before="6"/>
        <w:rPr>
          <w:rFonts w:ascii="仿宋" w:eastAsia="仿宋" w:hint="eastAsia"/>
        </w:rPr>
      </w:pPr>
      <w:r>
        <w:rPr>
          <w:rFonts w:ascii="仿宋" w:eastAsia="仿宋" w:hint="eastAsia"/>
        </w:rPr>
        <w:t>5、</w:t>
        <w:tab/>
        <w:t>手术室及重症病房用耗材</w:t>
      </w:r>
    </w:p>
    <w:p>
      <w:pPr>
        <w:pStyle w:val="BodyText"/>
        <w:tabs>
          <w:tab w:pos="1185" w:val="left" w:leader="none"/>
        </w:tabs>
        <w:spacing w:before="5"/>
        <w:rPr>
          <w:rFonts w:ascii="仿宋" w:eastAsia="仿宋" w:hint="eastAsia"/>
        </w:rPr>
      </w:pPr>
      <w:r>
        <w:rPr>
          <w:rFonts w:ascii="仿宋" w:eastAsia="仿宋" w:hint="eastAsia"/>
        </w:rPr>
        <w:t>6、</w:t>
        <w:tab/>
      </w:r>
      <w:r>
        <w:rPr>
          <w:rFonts w:ascii="仿宋" w:eastAsia="仿宋" w:hint="eastAsia"/>
          <w:w w:val="95"/>
        </w:rPr>
        <w:t>内分泌科用耗材</w:t>
      </w:r>
    </w:p>
    <w:p>
      <w:pPr>
        <w:pStyle w:val="BodyText"/>
        <w:tabs>
          <w:tab w:pos="1185" w:val="left" w:leader="none"/>
        </w:tabs>
        <w:spacing w:before="5"/>
        <w:rPr>
          <w:rFonts w:ascii="仿宋" w:eastAsia="仿宋" w:hint="eastAsia"/>
        </w:rPr>
      </w:pPr>
      <w:r>
        <w:rPr>
          <w:rFonts w:ascii="仿宋" w:eastAsia="仿宋" w:hint="eastAsia"/>
        </w:rPr>
        <w:t>7、</w:t>
        <w:tab/>
      </w:r>
      <w:r>
        <w:rPr>
          <w:rFonts w:ascii="仿宋" w:eastAsia="仿宋" w:hint="eastAsia"/>
          <w:w w:val="95"/>
        </w:rPr>
        <w:t>泌尿外科用耗材</w:t>
      </w:r>
    </w:p>
    <w:p>
      <w:pPr>
        <w:pStyle w:val="BodyText"/>
        <w:tabs>
          <w:tab w:pos="1185" w:val="left" w:leader="none"/>
        </w:tabs>
        <w:spacing w:before="6"/>
        <w:rPr>
          <w:rFonts w:ascii="仿宋" w:eastAsia="仿宋" w:hint="eastAsia"/>
        </w:rPr>
      </w:pPr>
      <w:r>
        <w:rPr>
          <w:rFonts w:ascii="仿宋" w:eastAsia="仿宋" w:hint="eastAsia"/>
        </w:rPr>
        <w:t>8、</w:t>
        <w:tab/>
        <w:t>普外科类</w:t>
      </w:r>
    </w:p>
    <w:p>
      <w:pPr>
        <w:pStyle w:val="BodyText"/>
        <w:tabs>
          <w:tab w:pos="1185" w:val="left" w:leader="none"/>
        </w:tabs>
        <w:spacing w:before="5"/>
        <w:rPr>
          <w:rFonts w:ascii="仿宋" w:eastAsia="仿宋" w:hint="eastAsia"/>
        </w:rPr>
      </w:pPr>
      <w:r>
        <w:rPr>
          <w:rFonts w:ascii="仿宋" w:eastAsia="仿宋" w:hint="eastAsia"/>
        </w:rPr>
        <w:t>9、</w:t>
        <w:tab/>
        <w:t>麻醉类耗材</w:t>
      </w:r>
    </w:p>
    <w:p>
      <w:pPr>
        <w:pStyle w:val="BodyText"/>
        <w:spacing w:before="5"/>
        <w:rPr>
          <w:rFonts w:ascii="仿宋" w:eastAsia="仿宋" w:hint="eastAsia"/>
        </w:rPr>
      </w:pPr>
      <w:r>
        <w:rPr>
          <w:rFonts w:ascii="仿宋" w:eastAsia="仿宋" w:hint="eastAsia"/>
        </w:rPr>
        <w:t>10、 体外循环及血液净化类</w:t>
      </w:r>
    </w:p>
    <w:p>
      <w:pPr>
        <w:pStyle w:val="BodyText"/>
        <w:spacing w:before="5"/>
        <w:rPr>
          <w:rFonts w:ascii="仿宋" w:eastAsia="仿宋" w:hint="eastAsia"/>
        </w:rPr>
      </w:pPr>
      <w:r>
        <w:rPr>
          <w:rFonts w:ascii="仿宋" w:eastAsia="仿宋" w:hint="eastAsia"/>
        </w:rPr>
        <w:t>11、 消毒类耗材</w:t>
      </w:r>
    </w:p>
    <w:p>
      <w:pPr>
        <w:pStyle w:val="BodyText"/>
        <w:spacing w:before="6"/>
        <w:rPr>
          <w:rFonts w:ascii="仿宋" w:eastAsia="仿宋" w:hint="eastAsia"/>
        </w:rPr>
      </w:pPr>
      <w:r>
        <w:rPr>
          <w:rFonts w:ascii="仿宋" w:eastAsia="仿宋" w:hint="eastAsia"/>
        </w:rPr>
        <w:t>12、 消化系统内窥镜诊断治疗用耗材</w:t>
      </w:r>
    </w:p>
    <w:p>
      <w:pPr>
        <w:pStyle w:val="BodyText"/>
        <w:spacing w:before="5"/>
        <w:rPr>
          <w:rFonts w:ascii="仿宋" w:eastAsia="仿宋" w:hint="eastAsia"/>
        </w:rPr>
      </w:pPr>
      <w:r>
        <w:rPr>
          <w:rFonts w:ascii="仿宋" w:eastAsia="仿宋" w:hint="eastAsia"/>
        </w:rPr>
        <w:t>13</w:t>
      </w:r>
      <w:r>
        <w:rPr>
          <w:rFonts w:ascii="仿宋" w:eastAsia="仿宋" w:hint="eastAsia"/>
          <w:spacing w:val="4"/>
        </w:rPr>
        <w:t>、 心胸外科类</w:t>
      </w:r>
    </w:p>
    <w:p>
      <w:pPr>
        <w:pStyle w:val="BodyText"/>
        <w:spacing w:before="5"/>
        <w:rPr>
          <w:rFonts w:ascii="仿宋" w:eastAsia="仿宋" w:hint="eastAsia"/>
        </w:rPr>
      </w:pPr>
      <w:r>
        <w:rPr>
          <w:rFonts w:ascii="仿宋" w:eastAsia="仿宋" w:hint="eastAsia"/>
        </w:rPr>
        <w:t>14</w:t>
      </w:r>
      <w:r>
        <w:rPr>
          <w:rFonts w:ascii="仿宋" w:eastAsia="仿宋" w:hint="eastAsia"/>
          <w:spacing w:val="4"/>
        </w:rPr>
        <w:t>、 口腔科耗材</w:t>
      </w:r>
    </w:p>
    <w:p>
      <w:pPr>
        <w:pStyle w:val="BodyText"/>
        <w:spacing w:before="5"/>
        <w:rPr>
          <w:rFonts w:ascii="仿宋" w:eastAsia="仿宋" w:hint="eastAsia"/>
        </w:rPr>
      </w:pPr>
      <w:r>
        <w:rPr>
          <w:rFonts w:ascii="仿宋" w:eastAsia="仿宋" w:hint="eastAsia"/>
        </w:rPr>
        <w:t>15</w:t>
      </w:r>
      <w:r>
        <w:rPr>
          <w:rFonts w:ascii="仿宋" w:eastAsia="仿宋" w:hint="eastAsia"/>
          <w:spacing w:val="4"/>
        </w:rPr>
        <w:t>、 检验用耗材</w:t>
      </w:r>
    </w:p>
    <w:p>
      <w:pPr>
        <w:pStyle w:val="BodyText"/>
        <w:spacing w:before="3"/>
        <w:rPr>
          <w:rFonts w:ascii="仿宋" w:eastAsia="仿宋" w:hint="eastAsia"/>
        </w:rPr>
      </w:pPr>
      <w:r>
        <w:rPr>
          <w:rFonts w:ascii="仿宋" w:eastAsia="仿宋" w:hint="eastAsia"/>
        </w:rPr>
        <w:t>16、 康复材料及义肢类</w:t>
      </w:r>
    </w:p>
    <w:p>
      <w:pPr>
        <w:pStyle w:val="BodyText"/>
        <w:spacing w:before="6"/>
        <w:rPr>
          <w:rFonts w:ascii="仿宋" w:eastAsia="仿宋" w:hint="eastAsia"/>
        </w:rPr>
      </w:pPr>
      <w:r>
        <w:rPr>
          <w:rFonts w:ascii="仿宋" w:eastAsia="仿宋" w:hint="eastAsia"/>
        </w:rPr>
        <w:t>17</w:t>
      </w:r>
      <w:r>
        <w:rPr>
          <w:rFonts w:ascii="仿宋" w:eastAsia="仿宋" w:hint="eastAsia"/>
          <w:spacing w:val="4"/>
        </w:rPr>
        <w:t>、 其它类耗材</w:t>
      </w:r>
    </w:p>
    <w:p>
      <w:pPr>
        <w:pStyle w:val="BodyText"/>
        <w:spacing w:before="5"/>
        <w:rPr>
          <w:rFonts w:ascii="仿宋" w:eastAsia="仿宋" w:hint="eastAsia"/>
        </w:rPr>
      </w:pPr>
      <w:r>
        <w:rPr>
          <w:rFonts w:ascii="仿宋" w:eastAsia="仿宋" w:hint="eastAsia"/>
        </w:rPr>
        <w:t>18</w:t>
      </w:r>
      <w:r>
        <w:rPr>
          <w:rFonts w:ascii="仿宋" w:eastAsia="仿宋" w:hint="eastAsia"/>
          <w:spacing w:val="4"/>
        </w:rPr>
        <w:t>、 骨科创伤类</w:t>
      </w:r>
    </w:p>
    <w:p>
      <w:pPr>
        <w:pStyle w:val="BodyText"/>
        <w:spacing w:before="5"/>
        <w:rPr>
          <w:rFonts w:ascii="仿宋" w:eastAsia="仿宋" w:hint="eastAsia"/>
        </w:rPr>
      </w:pPr>
      <w:r>
        <w:rPr>
          <w:rFonts w:ascii="仿宋" w:eastAsia="仿宋" w:hint="eastAsia"/>
        </w:rPr>
        <w:t>19</w:t>
      </w:r>
      <w:r>
        <w:rPr>
          <w:rFonts w:ascii="仿宋" w:eastAsia="仿宋" w:hint="eastAsia"/>
          <w:spacing w:val="4"/>
        </w:rPr>
        <w:t>、 骨科脊柱类</w:t>
      </w:r>
    </w:p>
    <w:p>
      <w:pPr>
        <w:pStyle w:val="BodyText"/>
        <w:spacing w:before="5"/>
        <w:rPr>
          <w:rFonts w:ascii="仿宋" w:eastAsia="仿宋" w:hint="eastAsia"/>
        </w:rPr>
      </w:pPr>
      <w:r>
        <w:rPr>
          <w:rFonts w:ascii="仿宋" w:eastAsia="仿宋" w:hint="eastAsia"/>
        </w:rPr>
        <w:t>20、 骨科人工关节类</w:t>
      </w:r>
    </w:p>
    <w:p>
      <w:pPr>
        <w:pStyle w:val="BodyText"/>
        <w:spacing w:before="5"/>
        <w:rPr>
          <w:rFonts w:ascii="仿宋" w:eastAsia="仿宋" w:hint="eastAsia"/>
        </w:rPr>
      </w:pPr>
      <w:r>
        <w:rPr>
          <w:rFonts w:ascii="仿宋" w:eastAsia="仿宋" w:hint="eastAsia"/>
        </w:rPr>
        <w:t>21、 通用试剂</w:t>
      </w:r>
    </w:p>
    <w:p>
      <w:pPr>
        <w:pStyle w:val="BodyText"/>
        <w:spacing w:before="6"/>
        <w:rPr>
          <w:rFonts w:ascii="仿宋" w:eastAsia="仿宋" w:hint="eastAsia"/>
        </w:rPr>
      </w:pPr>
      <w:r>
        <w:rPr>
          <w:rFonts w:ascii="仿宋" w:eastAsia="仿宋" w:hint="eastAsia"/>
        </w:rPr>
        <w:t>22、 专机专用试剂</w:t>
      </w:r>
    </w:p>
    <w:p>
      <w:pPr>
        <w:spacing w:after="0"/>
        <w:rPr>
          <w:rFonts w:ascii="仿宋" w:eastAsia="仿宋" w:hint="eastAsia"/>
        </w:rPr>
        <w:sectPr>
          <w:type w:val="continuous"/>
          <w:pgSz w:w="11910" w:h="16840"/>
          <w:pgMar w:top="1480" w:bottom="1500" w:left="1220" w:right="1160"/>
        </w:sectPr>
      </w:pPr>
    </w:p>
    <w:p>
      <w:pPr>
        <w:pStyle w:val="Heading1"/>
        <w:spacing w:line="240" w:lineRule="auto" w:before="39"/>
        <w:ind w:left="369"/>
        <w:rPr>
          <w:rFonts w:ascii="宋体" w:eastAsia="宋体" w:hint="eastAsia"/>
          <w:b w:val="0"/>
        </w:rPr>
      </w:pPr>
      <w:r>
        <w:rPr>
          <w:rFonts w:ascii="宋体" w:eastAsia="宋体" w:hint="eastAsia"/>
        </w:rPr>
        <w:t>集中采购日程安排</w:t>
      </w:r>
      <w:r>
        <w:rPr>
          <w:rFonts w:ascii="宋体" w:eastAsia="宋体" w:hint="eastAsia"/>
          <w:b w:val="0"/>
        </w:rPr>
        <w:t>：</w:t>
      </w:r>
    </w:p>
    <w:p>
      <w:pPr>
        <w:pStyle w:val="BodyText"/>
        <w:spacing w:before="4"/>
        <w:ind w:left="0"/>
        <w:rPr>
          <w:sz w:val="5"/>
        </w:rPr>
      </w:pPr>
    </w:p>
    <w:tbl>
      <w:tblPr>
        <w:tblW w:w="0" w:type="auto"/>
        <w:jc w:val="left"/>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62"/>
        <w:gridCol w:w="2454"/>
        <w:gridCol w:w="2317"/>
        <w:gridCol w:w="3525"/>
      </w:tblGrid>
      <w:tr>
        <w:trPr>
          <w:trHeight w:val="714" w:hRule="atLeast"/>
        </w:trPr>
        <w:tc>
          <w:tcPr>
            <w:tcW w:w="562" w:type="dxa"/>
          </w:tcPr>
          <w:p>
            <w:pPr>
              <w:pStyle w:val="TableParagraph"/>
              <w:spacing w:line="330" w:lineRule="exact"/>
              <w:ind w:left="158"/>
              <w:jc w:val="left"/>
              <w:rPr>
                <w:rFonts w:ascii="微软雅黑" w:eastAsia="微软雅黑" w:hint="eastAsia"/>
                <w:b/>
                <w:sz w:val="24"/>
              </w:rPr>
            </w:pPr>
            <w:r>
              <w:rPr>
                <w:rFonts w:ascii="微软雅黑" w:eastAsia="微软雅黑" w:hint="eastAsia"/>
                <w:b/>
                <w:sz w:val="24"/>
              </w:rPr>
              <w:t>序</w:t>
            </w:r>
          </w:p>
          <w:p>
            <w:pPr>
              <w:pStyle w:val="TableParagraph"/>
              <w:spacing w:line="365" w:lineRule="exact"/>
              <w:ind w:left="158"/>
              <w:jc w:val="left"/>
              <w:rPr>
                <w:rFonts w:ascii="微软雅黑" w:eastAsia="微软雅黑" w:hint="eastAsia"/>
                <w:b/>
                <w:sz w:val="24"/>
              </w:rPr>
            </w:pPr>
            <w:r>
              <w:rPr>
                <w:rFonts w:ascii="微软雅黑" w:eastAsia="微软雅黑" w:hint="eastAsia"/>
                <w:b/>
                <w:sz w:val="24"/>
              </w:rPr>
              <w:t>号</w:t>
            </w:r>
          </w:p>
        </w:tc>
        <w:tc>
          <w:tcPr>
            <w:tcW w:w="2454" w:type="dxa"/>
          </w:tcPr>
          <w:p>
            <w:pPr>
              <w:pStyle w:val="TableParagraph"/>
              <w:spacing w:before="108"/>
              <w:ind w:left="123" w:right="121"/>
              <w:rPr>
                <w:rFonts w:ascii="微软雅黑" w:eastAsia="微软雅黑" w:hint="eastAsia"/>
                <w:b/>
                <w:sz w:val="24"/>
              </w:rPr>
            </w:pPr>
            <w:r>
              <w:rPr>
                <w:rFonts w:ascii="微软雅黑" w:eastAsia="微软雅黑" w:hint="eastAsia"/>
                <w:b/>
                <w:sz w:val="24"/>
              </w:rPr>
              <w:t>工作</w:t>
            </w:r>
          </w:p>
        </w:tc>
        <w:tc>
          <w:tcPr>
            <w:tcW w:w="2317" w:type="dxa"/>
          </w:tcPr>
          <w:p>
            <w:pPr>
              <w:pStyle w:val="TableParagraph"/>
              <w:spacing w:before="108"/>
              <w:ind w:left="51" w:right="52"/>
              <w:rPr>
                <w:rFonts w:ascii="微软雅黑" w:eastAsia="微软雅黑" w:hint="eastAsia"/>
                <w:b/>
                <w:sz w:val="24"/>
              </w:rPr>
            </w:pPr>
            <w:r>
              <w:rPr>
                <w:rFonts w:ascii="微软雅黑" w:eastAsia="微软雅黑" w:hint="eastAsia"/>
                <w:b/>
                <w:sz w:val="24"/>
              </w:rPr>
              <w:t>开始时间</w:t>
            </w:r>
          </w:p>
        </w:tc>
        <w:tc>
          <w:tcPr>
            <w:tcW w:w="3525" w:type="dxa"/>
          </w:tcPr>
          <w:p>
            <w:pPr>
              <w:pStyle w:val="TableParagraph"/>
              <w:spacing w:before="108"/>
              <w:ind w:left="0"/>
              <w:rPr>
                <w:rFonts w:ascii="微软雅黑" w:eastAsia="微软雅黑" w:hint="eastAsia"/>
                <w:b/>
                <w:sz w:val="24"/>
              </w:rPr>
            </w:pPr>
            <w:r>
              <w:rPr>
                <w:rFonts w:ascii="微软雅黑" w:eastAsia="微软雅黑" w:hint="eastAsia"/>
                <w:b/>
                <w:sz w:val="24"/>
              </w:rPr>
              <w:t>结束时间</w:t>
            </w:r>
          </w:p>
        </w:tc>
      </w:tr>
      <w:tr>
        <w:trPr>
          <w:trHeight w:val="436" w:hRule="atLeast"/>
        </w:trPr>
        <w:tc>
          <w:tcPr>
            <w:tcW w:w="562" w:type="dxa"/>
          </w:tcPr>
          <w:p>
            <w:pPr>
              <w:pStyle w:val="TableParagraph"/>
              <w:spacing w:before="45"/>
              <w:ind w:left="3"/>
              <w:rPr>
                <w:sz w:val="24"/>
              </w:rPr>
            </w:pPr>
            <w:r>
              <w:rPr>
                <w:w w:val="99"/>
                <w:sz w:val="24"/>
              </w:rPr>
              <w:t>1</w:t>
            </w:r>
          </w:p>
        </w:tc>
        <w:tc>
          <w:tcPr>
            <w:tcW w:w="2454" w:type="dxa"/>
          </w:tcPr>
          <w:p>
            <w:pPr>
              <w:pStyle w:val="TableParagraph"/>
              <w:spacing w:before="45"/>
              <w:ind w:left="123" w:right="121"/>
              <w:rPr>
                <w:sz w:val="24"/>
              </w:rPr>
            </w:pPr>
            <w:r>
              <w:rPr>
                <w:sz w:val="24"/>
              </w:rPr>
              <w:t>发布采购公告</w:t>
            </w:r>
          </w:p>
        </w:tc>
        <w:tc>
          <w:tcPr>
            <w:tcW w:w="2317" w:type="dxa"/>
          </w:tcPr>
          <w:p>
            <w:pPr>
              <w:pStyle w:val="TableParagraph"/>
              <w:spacing w:before="45"/>
              <w:ind w:left="54" w:right="52"/>
              <w:rPr>
                <w:sz w:val="24"/>
              </w:rPr>
            </w:pPr>
            <w:r>
              <w:rPr>
                <w:sz w:val="24"/>
              </w:rPr>
              <w:t>2018 年 7 月 18 日</w:t>
            </w:r>
          </w:p>
        </w:tc>
        <w:tc>
          <w:tcPr>
            <w:tcW w:w="3525" w:type="dxa"/>
          </w:tcPr>
          <w:p>
            <w:pPr>
              <w:pStyle w:val="TableParagraph"/>
              <w:ind w:left="0"/>
              <w:jc w:val="left"/>
              <w:rPr>
                <w:rFonts w:ascii="Times New Roman"/>
                <w:sz w:val="22"/>
              </w:rPr>
            </w:pPr>
          </w:p>
        </w:tc>
      </w:tr>
      <w:tr>
        <w:trPr>
          <w:trHeight w:val="714" w:hRule="atLeast"/>
        </w:trPr>
        <w:tc>
          <w:tcPr>
            <w:tcW w:w="562" w:type="dxa"/>
          </w:tcPr>
          <w:p>
            <w:pPr>
              <w:pStyle w:val="TableParagraph"/>
              <w:spacing w:before="184"/>
              <w:ind w:left="3"/>
              <w:rPr>
                <w:sz w:val="24"/>
              </w:rPr>
            </w:pPr>
            <w:r>
              <w:rPr>
                <w:w w:val="99"/>
                <w:sz w:val="24"/>
              </w:rPr>
              <w:t>2</w:t>
            </w:r>
          </w:p>
        </w:tc>
        <w:tc>
          <w:tcPr>
            <w:tcW w:w="2454" w:type="dxa"/>
          </w:tcPr>
          <w:p>
            <w:pPr>
              <w:pStyle w:val="TableParagraph"/>
              <w:spacing w:before="7"/>
              <w:ind w:left="123" w:right="121"/>
              <w:rPr>
                <w:sz w:val="24"/>
              </w:rPr>
            </w:pPr>
            <w:r>
              <w:rPr>
                <w:sz w:val="24"/>
              </w:rPr>
              <w:t>发布采购文件，接受</w:t>
            </w:r>
          </w:p>
          <w:p>
            <w:pPr>
              <w:pStyle w:val="TableParagraph"/>
              <w:spacing w:before="50"/>
              <w:ind w:left="123" w:right="121"/>
              <w:rPr>
                <w:sz w:val="24"/>
              </w:rPr>
            </w:pPr>
            <w:r>
              <w:rPr>
                <w:sz w:val="24"/>
              </w:rPr>
              <w:t>企业报名</w:t>
            </w:r>
          </w:p>
        </w:tc>
        <w:tc>
          <w:tcPr>
            <w:tcW w:w="2317" w:type="dxa"/>
          </w:tcPr>
          <w:p>
            <w:pPr>
              <w:pStyle w:val="TableParagraph"/>
              <w:spacing w:before="184"/>
              <w:ind w:left="54" w:right="52"/>
              <w:rPr>
                <w:sz w:val="24"/>
              </w:rPr>
            </w:pPr>
            <w:r>
              <w:rPr>
                <w:sz w:val="24"/>
              </w:rPr>
              <w:t>2018 年 7 月 20 日</w:t>
            </w:r>
          </w:p>
        </w:tc>
        <w:tc>
          <w:tcPr>
            <w:tcW w:w="3525" w:type="dxa"/>
          </w:tcPr>
          <w:p>
            <w:pPr>
              <w:pStyle w:val="TableParagraph"/>
              <w:spacing w:before="7"/>
              <w:ind w:left="0"/>
              <w:rPr>
                <w:sz w:val="24"/>
              </w:rPr>
            </w:pPr>
            <w:r>
              <w:rPr>
                <w:sz w:val="24"/>
              </w:rPr>
              <w:t>2018 年 8 月 7 日（周六、周日</w:t>
            </w:r>
          </w:p>
          <w:p>
            <w:pPr>
              <w:pStyle w:val="TableParagraph"/>
              <w:spacing w:before="50"/>
              <w:ind w:left="0"/>
              <w:rPr>
                <w:sz w:val="24"/>
              </w:rPr>
            </w:pPr>
            <w:r>
              <w:rPr>
                <w:sz w:val="24"/>
              </w:rPr>
              <w:t>休息）</w:t>
            </w:r>
          </w:p>
        </w:tc>
      </w:tr>
      <w:tr>
        <w:trPr>
          <w:trHeight w:val="436" w:hRule="atLeast"/>
        </w:trPr>
        <w:tc>
          <w:tcPr>
            <w:tcW w:w="562" w:type="dxa"/>
          </w:tcPr>
          <w:p>
            <w:pPr>
              <w:pStyle w:val="TableParagraph"/>
              <w:spacing w:before="45"/>
              <w:ind w:left="3"/>
              <w:rPr>
                <w:sz w:val="24"/>
              </w:rPr>
            </w:pPr>
            <w:r>
              <w:rPr>
                <w:w w:val="99"/>
                <w:sz w:val="24"/>
              </w:rPr>
              <w:t>3</w:t>
            </w:r>
          </w:p>
        </w:tc>
        <w:tc>
          <w:tcPr>
            <w:tcW w:w="2454" w:type="dxa"/>
          </w:tcPr>
          <w:p>
            <w:pPr>
              <w:pStyle w:val="TableParagraph"/>
              <w:spacing w:before="45"/>
              <w:ind w:left="123" w:right="121"/>
              <w:rPr>
                <w:sz w:val="24"/>
              </w:rPr>
            </w:pPr>
            <w:r>
              <w:rPr>
                <w:sz w:val="24"/>
              </w:rPr>
              <w:t>企业网上申报资质</w:t>
            </w:r>
          </w:p>
        </w:tc>
        <w:tc>
          <w:tcPr>
            <w:tcW w:w="2317" w:type="dxa"/>
          </w:tcPr>
          <w:p>
            <w:pPr>
              <w:pStyle w:val="TableParagraph"/>
              <w:spacing w:before="45"/>
              <w:ind w:left="54" w:right="52"/>
              <w:rPr>
                <w:sz w:val="24"/>
              </w:rPr>
            </w:pPr>
            <w:r>
              <w:rPr>
                <w:sz w:val="24"/>
              </w:rPr>
              <w:t>2018 年 7 月 20 日</w:t>
            </w:r>
          </w:p>
        </w:tc>
        <w:tc>
          <w:tcPr>
            <w:tcW w:w="3525" w:type="dxa"/>
          </w:tcPr>
          <w:p>
            <w:pPr>
              <w:pStyle w:val="TableParagraph"/>
              <w:spacing w:before="45"/>
              <w:ind w:left="3"/>
              <w:rPr>
                <w:sz w:val="24"/>
              </w:rPr>
            </w:pPr>
            <w:r>
              <w:rPr>
                <w:sz w:val="24"/>
              </w:rPr>
              <w:t>2018 年 8 月 12 日</w:t>
            </w:r>
          </w:p>
        </w:tc>
      </w:tr>
      <w:tr>
        <w:trPr>
          <w:trHeight w:val="433" w:hRule="atLeast"/>
        </w:trPr>
        <w:tc>
          <w:tcPr>
            <w:tcW w:w="562" w:type="dxa"/>
          </w:tcPr>
          <w:p>
            <w:pPr>
              <w:pStyle w:val="TableParagraph"/>
              <w:spacing w:before="45"/>
              <w:ind w:left="3"/>
              <w:rPr>
                <w:sz w:val="24"/>
              </w:rPr>
            </w:pPr>
            <w:r>
              <w:rPr>
                <w:w w:val="99"/>
                <w:sz w:val="24"/>
              </w:rPr>
              <w:t>4</w:t>
            </w:r>
          </w:p>
        </w:tc>
        <w:tc>
          <w:tcPr>
            <w:tcW w:w="2454" w:type="dxa"/>
          </w:tcPr>
          <w:p>
            <w:pPr>
              <w:pStyle w:val="TableParagraph"/>
              <w:spacing w:before="45"/>
              <w:ind w:left="123" w:right="121"/>
              <w:rPr>
                <w:sz w:val="24"/>
              </w:rPr>
            </w:pPr>
            <w:r>
              <w:rPr>
                <w:sz w:val="24"/>
              </w:rPr>
              <w:t>企业资质审核</w:t>
            </w:r>
          </w:p>
        </w:tc>
        <w:tc>
          <w:tcPr>
            <w:tcW w:w="2317" w:type="dxa"/>
          </w:tcPr>
          <w:p>
            <w:pPr>
              <w:pStyle w:val="TableParagraph"/>
              <w:spacing w:before="45"/>
              <w:ind w:left="54" w:right="52"/>
              <w:rPr>
                <w:sz w:val="24"/>
              </w:rPr>
            </w:pPr>
            <w:r>
              <w:rPr>
                <w:sz w:val="24"/>
              </w:rPr>
              <w:t>2018 年 7 月 20 日</w:t>
            </w:r>
          </w:p>
        </w:tc>
        <w:tc>
          <w:tcPr>
            <w:tcW w:w="3525" w:type="dxa"/>
          </w:tcPr>
          <w:p>
            <w:pPr>
              <w:pStyle w:val="TableParagraph"/>
              <w:spacing w:before="45"/>
              <w:ind w:left="3"/>
              <w:rPr>
                <w:sz w:val="24"/>
              </w:rPr>
            </w:pPr>
            <w:r>
              <w:rPr>
                <w:sz w:val="24"/>
              </w:rPr>
              <w:t>2018 年 8 月 27 日</w:t>
            </w:r>
          </w:p>
        </w:tc>
      </w:tr>
      <w:tr>
        <w:trPr>
          <w:trHeight w:val="717" w:hRule="atLeast"/>
        </w:trPr>
        <w:tc>
          <w:tcPr>
            <w:tcW w:w="562" w:type="dxa"/>
          </w:tcPr>
          <w:p>
            <w:pPr>
              <w:pStyle w:val="TableParagraph"/>
              <w:spacing w:before="187"/>
              <w:ind w:left="3"/>
              <w:rPr>
                <w:sz w:val="24"/>
              </w:rPr>
            </w:pPr>
            <w:r>
              <w:rPr>
                <w:w w:val="99"/>
                <w:sz w:val="24"/>
              </w:rPr>
              <w:t>5</w:t>
            </w:r>
          </w:p>
        </w:tc>
        <w:tc>
          <w:tcPr>
            <w:tcW w:w="2454" w:type="dxa"/>
          </w:tcPr>
          <w:p>
            <w:pPr>
              <w:pStyle w:val="TableParagraph"/>
              <w:spacing w:before="7"/>
              <w:ind w:left="123" w:right="121"/>
              <w:rPr>
                <w:sz w:val="24"/>
              </w:rPr>
            </w:pPr>
            <w:r>
              <w:rPr>
                <w:sz w:val="24"/>
              </w:rPr>
              <w:t>企业资质审核结果公</w:t>
            </w:r>
          </w:p>
          <w:p>
            <w:pPr>
              <w:pStyle w:val="TableParagraph"/>
              <w:spacing w:before="53"/>
              <w:ind w:left="2"/>
              <w:rPr>
                <w:sz w:val="24"/>
              </w:rPr>
            </w:pPr>
            <w:r>
              <w:rPr>
                <w:sz w:val="24"/>
              </w:rPr>
              <w:t>示</w:t>
            </w:r>
          </w:p>
        </w:tc>
        <w:tc>
          <w:tcPr>
            <w:tcW w:w="2317" w:type="dxa"/>
          </w:tcPr>
          <w:p>
            <w:pPr>
              <w:pStyle w:val="TableParagraph"/>
              <w:spacing w:before="187"/>
              <w:ind w:left="54" w:right="52"/>
              <w:rPr>
                <w:sz w:val="24"/>
              </w:rPr>
            </w:pPr>
            <w:r>
              <w:rPr>
                <w:sz w:val="24"/>
              </w:rPr>
              <w:t>2018 年 8 月 28 日</w:t>
            </w:r>
          </w:p>
        </w:tc>
        <w:tc>
          <w:tcPr>
            <w:tcW w:w="3525" w:type="dxa"/>
          </w:tcPr>
          <w:p>
            <w:pPr>
              <w:pStyle w:val="TableParagraph"/>
              <w:spacing w:before="187"/>
              <w:ind w:left="0"/>
              <w:rPr>
                <w:sz w:val="24"/>
              </w:rPr>
            </w:pPr>
            <w:r>
              <w:rPr>
                <w:sz w:val="24"/>
              </w:rPr>
              <w:t>2018 年 9 月 3 日</w:t>
            </w:r>
          </w:p>
        </w:tc>
      </w:tr>
      <w:tr>
        <w:trPr>
          <w:trHeight w:val="714" w:hRule="atLeast"/>
        </w:trPr>
        <w:tc>
          <w:tcPr>
            <w:tcW w:w="562" w:type="dxa"/>
          </w:tcPr>
          <w:p>
            <w:pPr>
              <w:pStyle w:val="TableParagraph"/>
              <w:spacing w:before="187"/>
              <w:ind w:left="3"/>
              <w:rPr>
                <w:sz w:val="24"/>
              </w:rPr>
            </w:pPr>
            <w:r>
              <w:rPr>
                <w:w w:val="99"/>
                <w:sz w:val="24"/>
              </w:rPr>
              <w:t>6</w:t>
            </w:r>
          </w:p>
        </w:tc>
        <w:tc>
          <w:tcPr>
            <w:tcW w:w="2454" w:type="dxa"/>
          </w:tcPr>
          <w:p>
            <w:pPr>
              <w:pStyle w:val="TableParagraph"/>
              <w:spacing w:before="7"/>
              <w:ind w:left="123" w:right="121"/>
              <w:rPr>
                <w:sz w:val="24"/>
              </w:rPr>
            </w:pPr>
            <w:r>
              <w:rPr>
                <w:sz w:val="24"/>
              </w:rPr>
              <w:t>处理企业资质审核结</w:t>
            </w:r>
          </w:p>
          <w:p>
            <w:pPr>
              <w:pStyle w:val="TableParagraph"/>
              <w:spacing w:before="50"/>
              <w:ind w:left="123" w:right="121"/>
              <w:rPr>
                <w:sz w:val="24"/>
              </w:rPr>
            </w:pPr>
            <w:r>
              <w:rPr>
                <w:sz w:val="24"/>
              </w:rPr>
              <w:t>果申投诉</w:t>
            </w:r>
          </w:p>
        </w:tc>
        <w:tc>
          <w:tcPr>
            <w:tcW w:w="2317" w:type="dxa"/>
          </w:tcPr>
          <w:p>
            <w:pPr>
              <w:pStyle w:val="TableParagraph"/>
              <w:spacing w:before="187"/>
              <w:ind w:left="54" w:right="52"/>
              <w:rPr>
                <w:sz w:val="24"/>
              </w:rPr>
            </w:pPr>
            <w:r>
              <w:rPr>
                <w:sz w:val="24"/>
              </w:rPr>
              <w:t>2018 年 8 月 28 日</w:t>
            </w:r>
          </w:p>
        </w:tc>
        <w:tc>
          <w:tcPr>
            <w:tcW w:w="3525" w:type="dxa"/>
          </w:tcPr>
          <w:p>
            <w:pPr>
              <w:pStyle w:val="TableParagraph"/>
              <w:spacing w:before="187"/>
              <w:ind w:left="0"/>
              <w:rPr>
                <w:sz w:val="24"/>
              </w:rPr>
            </w:pPr>
            <w:r>
              <w:rPr>
                <w:sz w:val="24"/>
              </w:rPr>
              <w:t>2018 年 9 月 8 日</w:t>
            </w:r>
          </w:p>
        </w:tc>
      </w:tr>
      <w:tr>
        <w:trPr>
          <w:trHeight w:val="436" w:hRule="atLeast"/>
        </w:trPr>
        <w:tc>
          <w:tcPr>
            <w:tcW w:w="562" w:type="dxa"/>
          </w:tcPr>
          <w:p>
            <w:pPr>
              <w:pStyle w:val="TableParagraph"/>
              <w:spacing w:before="47"/>
              <w:ind w:left="3"/>
              <w:rPr>
                <w:sz w:val="24"/>
              </w:rPr>
            </w:pPr>
            <w:r>
              <w:rPr>
                <w:w w:val="99"/>
                <w:sz w:val="24"/>
              </w:rPr>
              <w:t>7</w:t>
            </w:r>
          </w:p>
        </w:tc>
        <w:tc>
          <w:tcPr>
            <w:tcW w:w="2454" w:type="dxa"/>
          </w:tcPr>
          <w:p>
            <w:pPr>
              <w:pStyle w:val="TableParagraph"/>
              <w:spacing w:before="47"/>
              <w:ind w:left="123" w:right="121"/>
              <w:rPr>
                <w:sz w:val="24"/>
              </w:rPr>
            </w:pPr>
            <w:r>
              <w:rPr>
                <w:sz w:val="24"/>
              </w:rPr>
              <w:t>企业申报组套产品</w:t>
            </w:r>
          </w:p>
        </w:tc>
        <w:tc>
          <w:tcPr>
            <w:tcW w:w="2317" w:type="dxa"/>
          </w:tcPr>
          <w:p>
            <w:pPr>
              <w:pStyle w:val="TableParagraph"/>
              <w:spacing w:before="47"/>
              <w:ind w:left="54" w:right="52"/>
              <w:rPr>
                <w:sz w:val="24"/>
              </w:rPr>
            </w:pPr>
            <w:r>
              <w:rPr>
                <w:sz w:val="24"/>
              </w:rPr>
              <w:t>2018 年 8 月 13 日</w:t>
            </w:r>
          </w:p>
        </w:tc>
        <w:tc>
          <w:tcPr>
            <w:tcW w:w="3525" w:type="dxa"/>
          </w:tcPr>
          <w:p>
            <w:pPr>
              <w:pStyle w:val="TableParagraph"/>
              <w:spacing w:before="47"/>
              <w:ind w:left="0"/>
              <w:rPr>
                <w:sz w:val="24"/>
              </w:rPr>
            </w:pPr>
            <w:r>
              <w:rPr>
                <w:sz w:val="24"/>
              </w:rPr>
              <w:t>2018 年 9 月 9 日</w:t>
            </w:r>
          </w:p>
        </w:tc>
      </w:tr>
      <w:tr>
        <w:trPr>
          <w:trHeight w:val="714" w:hRule="atLeast"/>
        </w:trPr>
        <w:tc>
          <w:tcPr>
            <w:tcW w:w="562" w:type="dxa"/>
          </w:tcPr>
          <w:p>
            <w:pPr>
              <w:pStyle w:val="TableParagraph"/>
              <w:spacing w:before="187"/>
              <w:ind w:left="3"/>
              <w:rPr>
                <w:sz w:val="24"/>
              </w:rPr>
            </w:pPr>
            <w:r>
              <w:rPr>
                <w:w w:val="99"/>
                <w:sz w:val="24"/>
              </w:rPr>
              <w:t>8</w:t>
            </w:r>
          </w:p>
        </w:tc>
        <w:tc>
          <w:tcPr>
            <w:tcW w:w="2454" w:type="dxa"/>
          </w:tcPr>
          <w:p>
            <w:pPr>
              <w:pStyle w:val="TableParagraph"/>
              <w:spacing w:before="187"/>
              <w:ind w:left="123" w:right="121"/>
              <w:rPr>
                <w:sz w:val="24"/>
              </w:rPr>
            </w:pPr>
            <w:r>
              <w:rPr>
                <w:sz w:val="24"/>
              </w:rPr>
              <w:t>企业信息确认</w:t>
            </w:r>
          </w:p>
        </w:tc>
        <w:tc>
          <w:tcPr>
            <w:tcW w:w="2317" w:type="dxa"/>
          </w:tcPr>
          <w:p>
            <w:pPr>
              <w:pStyle w:val="TableParagraph"/>
              <w:spacing w:before="7"/>
              <w:ind w:left="54" w:right="52"/>
              <w:rPr>
                <w:sz w:val="24"/>
              </w:rPr>
            </w:pPr>
            <w:r>
              <w:rPr>
                <w:sz w:val="24"/>
              </w:rPr>
              <w:t>2018</w:t>
            </w:r>
            <w:r>
              <w:rPr>
                <w:spacing w:val="-42"/>
                <w:sz w:val="24"/>
              </w:rPr>
              <w:t> 年 </w:t>
            </w:r>
            <w:r>
              <w:rPr>
                <w:sz w:val="24"/>
              </w:rPr>
              <w:t>9</w:t>
            </w:r>
            <w:r>
              <w:rPr>
                <w:spacing w:val="-42"/>
                <w:sz w:val="24"/>
              </w:rPr>
              <w:t> 月 </w:t>
            </w:r>
            <w:r>
              <w:rPr>
                <w:sz w:val="24"/>
              </w:rPr>
              <w:t>10</w:t>
            </w:r>
            <w:r>
              <w:rPr>
                <w:spacing w:val="-21"/>
                <w:sz w:val="24"/>
              </w:rPr>
              <w:t> 日上</w:t>
            </w:r>
          </w:p>
          <w:p>
            <w:pPr>
              <w:pStyle w:val="TableParagraph"/>
              <w:spacing w:before="50"/>
              <w:ind w:left="52" w:right="52"/>
              <w:rPr>
                <w:sz w:val="24"/>
              </w:rPr>
            </w:pPr>
            <w:r>
              <w:rPr>
                <w:spacing w:val="-30"/>
                <w:sz w:val="24"/>
              </w:rPr>
              <w:t>午 </w:t>
            </w:r>
            <w:r>
              <w:rPr>
                <w:w w:val="99"/>
                <w:sz w:val="24"/>
              </w:rPr>
              <w:t>9</w:t>
            </w:r>
            <w:r>
              <w:rPr>
                <w:w w:val="49"/>
                <w:sz w:val="24"/>
              </w:rPr>
              <w:t>:</w:t>
            </w:r>
            <w:r>
              <w:rPr>
                <w:spacing w:val="-2"/>
                <w:w w:val="99"/>
                <w:sz w:val="24"/>
              </w:rPr>
              <w:t>0</w:t>
            </w:r>
            <w:r>
              <w:rPr>
                <w:w w:val="99"/>
                <w:sz w:val="24"/>
              </w:rPr>
              <w:t>0</w:t>
            </w:r>
          </w:p>
        </w:tc>
        <w:tc>
          <w:tcPr>
            <w:tcW w:w="3525" w:type="dxa"/>
          </w:tcPr>
          <w:p>
            <w:pPr>
              <w:pStyle w:val="TableParagraph"/>
              <w:spacing w:before="187"/>
              <w:ind w:left="0"/>
              <w:rPr>
                <w:sz w:val="24"/>
              </w:rPr>
            </w:pPr>
            <w:r>
              <w:rPr>
                <w:w w:val="99"/>
                <w:sz w:val="24"/>
              </w:rPr>
              <w:t>20</w:t>
            </w:r>
            <w:r>
              <w:rPr>
                <w:spacing w:val="-2"/>
                <w:w w:val="99"/>
                <w:sz w:val="24"/>
              </w:rPr>
              <w:t>1</w:t>
            </w:r>
            <w:r>
              <w:rPr>
                <w:w w:val="99"/>
                <w:sz w:val="24"/>
              </w:rPr>
              <w:t>8</w:t>
            </w:r>
            <w:r>
              <w:rPr>
                <w:spacing w:val="-40"/>
                <w:sz w:val="24"/>
              </w:rPr>
              <w:t> 年 </w:t>
            </w:r>
            <w:r>
              <w:rPr>
                <w:w w:val="99"/>
                <w:sz w:val="24"/>
              </w:rPr>
              <w:t>9</w:t>
            </w:r>
            <w:r>
              <w:rPr>
                <w:spacing w:val="-40"/>
                <w:sz w:val="24"/>
              </w:rPr>
              <w:t> 月 </w:t>
            </w:r>
            <w:r>
              <w:rPr>
                <w:spacing w:val="-2"/>
                <w:w w:val="99"/>
                <w:sz w:val="24"/>
              </w:rPr>
              <w:t>1</w:t>
            </w:r>
            <w:r>
              <w:rPr>
                <w:w w:val="99"/>
                <w:sz w:val="24"/>
              </w:rPr>
              <w:t>0</w:t>
            </w:r>
            <w:r>
              <w:rPr>
                <w:spacing w:val="-25"/>
                <w:sz w:val="24"/>
              </w:rPr>
              <w:t> 日下午 </w:t>
            </w:r>
            <w:r>
              <w:rPr>
                <w:w w:val="99"/>
                <w:sz w:val="24"/>
              </w:rPr>
              <w:t>17</w:t>
            </w:r>
            <w:r>
              <w:rPr>
                <w:spacing w:val="-2"/>
                <w:w w:val="49"/>
                <w:sz w:val="24"/>
              </w:rPr>
              <w:t>:</w:t>
            </w:r>
            <w:r>
              <w:rPr>
                <w:w w:val="99"/>
                <w:sz w:val="24"/>
              </w:rPr>
              <w:t>00</w:t>
            </w:r>
          </w:p>
        </w:tc>
      </w:tr>
      <w:tr>
        <w:trPr>
          <w:trHeight w:val="717" w:hRule="atLeast"/>
        </w:trPr>
        <w:tc>
          <w:tcPr>
            <w:tcW w:w="562" w:type="dxa"/>
          </w:tcPr>
          <w:p>
            <w:pPr>
              <w:pStyle w:val="TableParagraph"/>
              <w:spacing w:before="187"/>
              <w:ind w:left="3"/>
              <w:rPr>
                <w:sz w:val="24"/>
              </w:rPr>
            </w:pPr>
            <w:r>
              <w:rPr>
                <w:w w:val="99"/>
                <w:sz w:val="24"/>
              </w:rPr>
              <w:t>9</w:t>
            </w:r>
          </w:p>
        </w:tc>
        <w:tc>
          <w:tcPr>
            <w:tcW w:w="2454" w:type="dxa"/>
          </w:tcPr>
          <w:p>
            <w:pPr>
              <w:pStyle w:val="TableParagraph"/>
              <w:spacing w:before="9"/>
              <w:ind w:left="123" w:right="121"/>
              <w:rPr>
                <w:sz w:val="24"/>
              </w:rPr>
            </w:pPr>
            <w:r>
              <w:rPr>
                <w:sz w:val="24"/>
              </w:rPr>
              <w:t>医疗机构上报历史采</w:t>
            </w:r>
          </w:p>
          <w:p>
            <w:pPr>
              <w:pStyle w:val="TableParagraph"/>
              <w:spacing w:before="50"/>
              <w:ind w:left="123" w:right="121"/>
              <w:rPr>
                <w:sz w:val="24"/>
              </w:rPr>
            </w:pPr>
            <w:r>
              <w:rPr>
                <w:sz w:val="24"/>
              </w:rPr>
              <w:t>购价</w:t>
            </w:r>
          </w:p>
        </w:tc>
        <w:tc>
          <w:tcPr>
            <w:tcW w:w="2317" w:type="dxa"/>
          </w:tcPr>
          <w:p>
            <w:pPr>
              <w:pStyle w:val="TableParagraph"/>
              <w:spacing w:before="187"/>
              <w:ind w:left="54" w:right="52"/>
              <w:rPr>
                <w:sz w:val="24"/>
              </w:rPr>
            </w:pPr>
            <w:r>
              <w:rPr>
                <w:sz w:val="24"/>
              </w:rPr>
              <w:t>2018 年 9 月 11 日</w:t>
            </w:r>
          </w:p>
        </w:tc>
        <w:tc>
          <w:tcPr>
            <w:tcW w:w="3525" w:type="dxa"/>
          </w:tcPr>
          <w:p>
            <w:pPr>
              <w:pStyle w:val="TableParagraph"/>
              <w:spacing w:before="187"/>
              <w:ind w:left="3"/>
              <w:rPr>
                <w:sz w:val="24"/>
              </w:rPr>
            </w:pPr>
            <w:r>
              <w:rPr>
                <w:sz w:val="24"/>
              </w:rPr>
              <w:t>2018 年 9 月 17 日</w:t>
            </w:r>
          </w:p>
        </w:tc>
      </w:tr>
      <w:tr>
        <w:trPr>
          <w:trHeight w:val="433" w:hRule="atLeast"/>
        </w:trPr>
        <w:tc>
          <w:tcPr>
            <w:tcW w:w="562" w:type="dxa"/>
          </w:tcPr>
          <w:p>
            <w:pPr>
              <w:pStyle w:val="TableParagraph"/>
              <w:spacing w:before="45"/>
              <w:ind w:left="138" w:right="134"/>
              <w:rPr>
                <w:sz w:val="24"/>
              </w:rPr>
            </w:pPr>
            <w:r>
              <w:rPr>
                <w:sz w:val="24"/>
              </w:rPr>
              <w:t>10</w:t>
            </w:r>
          </w:p>
        </w:tc>
        <w:tc>
          <w:tcPr>
            <w:tcW w:w="2454" w:type="dxa"/>
          </w:tcPr>
          <w:p>
            <w:pPr>
              <w:pStyle w:val="TableParagraph"/>
              <w:spacing w:before="45"/>
              <w:ind w:left="123" w:right="121"/>
              <w:rPr>
                <w:sz w:val="24"/>
              </w:rPr>
            </w:pPr>
            <w:r>
              <w:rPr>
                <w:sz w:val="24"/>
              </w:rPr>
              <w:t>制定上限价</w:t>
            </w:r>
          </w:p>
        </w:tc>
        <w:tc>
          <w:tcPr>
            <w:tcW w:w="2317" w:type="dxa"/>
          </w:tcPr>
          <w:p>
            <w:pPr>
              <w:pStyle w:val="TableParagraph"/>
              <w:spacing w:before="45"/>
              <w:ind w:left="54" w:right="52"/>
              <w:rPr>
                <w:sz w:val="24"/>
              </w:rPr>
            </w:pPr>
            <w:r>
              <w:rPr>
                <w:sz w:val="24"/>
              </w:rPr>
              <w:t>2018 年 9 月 18 日</w:t>
            </w:r>
          </w:p>
        </w:tc>
        <w:tc>
          <w:tcPr>
            <w:tcW w:w="3525" w:type="dxa"/>
          </w:tcPr>
          <w:p>
            <w:pPr>
              <w:pStyle w:val="TableParagraph"/>
              <w:spacing w:before="45"/>
              <w:ind w:left="3"/>
              <w:rPr>
                <w:sz w:val="24"/>
              </w:rPr>
            </w:pPr>
            <w:r>
              <w:rPr>
                <w:sz w:val="24"/>
              </w:rPr>
              <w:t>2018 年 10 月 2 日</w:t>
            </w:r>
          </w:p>
        </w:tc>
      </w:tr>
      <w:tr>
        <w:trPr>
          <w:trHeight w:val="436" w:hRule="atLeast"/>
        </w:trPr>
        <w:tc>
          <w:tcPr>
            <w:tcW w:w="562" w:type="dxa"/>
          </w:tcPr>
          <w:p>
            <w:pPr>
              <w:pStyle w:val="TableParagraph"/>
              <w:spacing w:before="48"/>
              <w:ind w:left="138" w:right="134"/>
              <w:rPr>
                <w:sz w:val="24"/>
              </w:rPr>
            </w:pPr>
            <w:r>
              <w:rPr>
                <w:sz w:val="24"/>
              </w:rPr>
              <w:t>11</w:t>
            </w:r>
          </w:p>
        </w:tc>
        <w:tc>
          <w:tcPr>
            <w:tcW w:w="2454" w:type="dxa"/>
          </w:tcPr>
          <w:p>
            <w:pPr>
              <w:pStyle w:val="TableParagraph"/>
              <w:spacing w:before="48"/>
              <w:ind w:left="123" w:right="121"/>
              <w:rPr>
                <w:sz w:val="24"/>
              </w:rPr>
            </w:pPr>
            <w:r>
              <w:rPr>
                <w:sz w:val="24"/>
              </w:rPr>
              <w:t>公示上限价</w:t>
            </w:r>
          </w:p>
        </w:tc>
        <w:tc>
          <w:tcPr>
            <w:tcW w:w="2317" w:type="dxa"/>
          </w:tcPr>
          <w:p>
            <w:pPr>
              <w:pStyle w:val="TableParagraph"/>
              <w:spacing w:before="48"/>
              <w:ind w:left="54" w:right="52"/>
              <w:rPr>
                <w:sz w:val="24"/>
              </w:rPr>
            </w:pPr>
            <w:r>
              <w:rPr>
                <w:sz w:val="24"/>
              </w:rPr>
              <w:t>2018 年 10 月 9 日</w:t>
            </w:r>
          </w:p>
        </w:tc>
        <w:tc>
          <w:tcPr>
            <w:tcW w:w="3525" w:type="dxa"/>
          </w:tcPr>
          <w:p>
            <w:pPr>
              <w:pStyle w:val="TableParagraph"/>
              <w:spacing w:before="48"/>
              <w:ind w:left="2"/>
              <w:rPr>
                <w:sz w:val="24"/>
              </w:rPr>
            </w:pPr>
            <w:r>
              <w:rPr>
                <w:sz w:val="24"/>
              </w:rPr>
              <w:t>2018 年 10 月 15 日</w:t>
            </w:r>
          </w:p>
        </w:tc>
      </w:tr>
      <w:tr>
        <w:trPr>
          <w:trHeight w:val="433" w:hRule="atLeast"/>
        </w:trPr>
        <w:tc>
          <w:tcPr>
            <w:tcW w:w="562" w:type="dxa"/>
          </w:tcPr>
          <w:p>
            <w:pPr>
              <w:pStyle w:val="TableParagraph"/>
              <w:spacing w:before="45"/>
              <w:ind w:left="138" w:right="134"/>
              <w:rPr>
                <w:sz w:val="24"/>
              </w:rPr>
            </w:pPr>
            <w:r>
              <w:rPr>
                <w:sz w:val="24"/>
              </w:rPr>
              <w:t>12</w:t>
            </w:r>
          </w:p>
        </w:tc>
        <w:tc>
          <w:tcPr>
            <w:tcW w:w="2454" w:type="dxa"/>
          </w:tcPr>
          <w:p>
            <w:pPr>
              <w:pStyle w:val="TableParagraph"/>
              <w:spacing w:before="45"/>
              <w:ind w:left="123" w:right="121"/>
              <w:rPr>
                <w:sz w:val="24"/>
              </w:rPr>
            </w:pPr>
            <w:r>
              <w:rPr>
                <w:sz w:val="24"/>
              </w:rPr>
              <w:t>处理上限价申诉</w:t>
            </w:r>
          </w:p>
        </w:tc>
        <w:tc>
          <w:tcPr>
            <w:tcW w:w="2317" w:type="dxa"/>
          </w:tcPr>
          <w:p>
            <w:pPr>
              <w:pStyle w:val="TableParagraph"/>
              <w:spacing w:before="45"/>
              <w:ind w:left="54" w:right="52"/>
              <w:rPr>
                <w:sz w:val="24"/>
              </w:rPr>
            </w:pPr>
            <w:r>
              <w:rPr>
                <w:sz w:val="24"/>
              </w:rPr>
              <w:t>2018 年 10 月 9 日</w:t>
            </w:r>
          </w:p>
        </w:tc>
        <w:tc>
          <w:tcPr>
            <w:tcW w:w="3525" w:type="dxa"/>
          </w:tcPr>
          <w:p>
            <w:pPr>
              <w:pStyle w:val="TableParagraph"/>
              <w:spacing w:before="45"/>
              <w:ind w:left="2"/>
              <w:rPr>
                <w:sz w:val="24"/>
              </w:rPr>
            </w:pPr>
            <w:r>
              <w:rPr>
                <w:sz w:val="24"/>
              </w:rPr>
              <w:t>2018 年 10 月 20 日</w:t>
            </w:r>
          </w:p>
        </w:tc>
      </w:tr>
      <w:tr>
        <w:trPr>
          <w:trHeight w:val="436" w:hRule="atLeast"/>
        </w:trPr>
        <w:tc>
          <w:tcPr>
            <w:tcW w:w="562" w:type="dxa"/>
          </w:tcPr>
          <w:p>
            <w:pPr>
              <w:pStyle w:val="TableParagraph"/>
              <w:spacing w:before="45"/>
              <w:ind w:left="138" w:right="134"/>
              <w:rPr>
                <w:sz w:val="24"/>
              </w:rPr>
            </w:pPr>
            <w:r>
              <w:rPr>
                <w:sz w:val="24"/>
              </w:rPr>
              <w:t>13</w:t>
            </w:r>
          </w:p>
        </w:tc>
        <w:tc>
          <w:tcPr>
            <w:tcW w:w="2454" w:type="dxa"/>
          </w:tcPr>
          <w:p>
            <w:pPr>
              <w:pStyle w:val="TableParagraph"/>
              <w:spacing w:before="45"/>
              <w:ind w:left="123" w:right="121"/>
              <w:rPr>
                <w:sz w:val="24"/>
              </w:rPr>
            </w:pPr>
            <w:r>
              <w:rPr>
                <w:sz w:val="24"/>
              </w:rPr>
              <w:t>公布上限价</w:t>
            </w:r>
          </w:p>
        </w:tc>
        <w:tc>
          <w:tcPr>
            <w:tcW w:w="2317" w:type="dxa"/>
          </w:tcPr>
          <w:p>
            <w:pPr>
              <w:pStyle w:val="TableParagraph"/>
              <w:spacing w:before="45"/>
              <w:ind w:left="2"/>
              <w:rPr>
                <w:sz w:val="24"/>
              </w:rPr>
            </w:pPr>
            <w:r>
              <w:rPr>
                <w:sz w:val="24"/>
              </w:rPr>
              <w:t>2018 年 10 月 22 日</w:t>
            </w:r>
          </w:p>
        </w:tc>
        <w:tc>
          <w:tcPr>
            <w:tcW w:w="3525" w:type="dxa"/>
          </w:tcPr>
          <w:p>
            <w:pPr>
              <w:pStyle w:val="TableParagraph"/>
              <w:ind w:left="0"/>
              <w:jc w:val="left"/>
              <w:rPr>
                <w:rFonts w:ascii="Times New Roman"/>
                <w:sz w:val="22"/>
              </w:rPr>
            </w:pPr>
          </w:p>
        </w:tc>
      </w:tr>
      <w:tr>
        <w:trPr>
          <w:trHeight w:val="714" w:hRule="atLeast"/>
        </w:trPr>
        <w:tc>
          <w:tcPr>
            <w:tcW w:w="562" w:type="dxa"/>
          </w:tcPr>
          <w:p>
            <w:pPr>
              <w:pStyle w:val="TableParagraph"/>
              <w:spacing w:before="184"/>
              <w:ind w:left="138" w:right="134"/>
              <w:rPr>
                <w:sz w:val="24"/>
              </w:rPr>
            </w:pPr>
            <w:r>
              <w:rPr>
                <w:sz w:val="24"/>
              </w:rPr>
              <w:t>14</w:t>
            </w:r>
          </w:p>
        </w:tc>
        <w:tc>
          <w:tcPr>
            <w:tcW w:w="2454" w:type="dxa"/>
          </w:tcPr>
          <w:p>
            <w:pPr>
              <w:pStyle w:val="TableParagraph"/>
              <w:spacing w:before="184"/>
              <w:ind w:left="123" w:right="121"/>
              <w:rPr>
                <w:sz w:val="24"/>
              </w:rPr>
            </w:pPr>
            <w:r>
              <w:rPr>
                <w:sz w:val="24"/>
              </w:rPr>
              <w:t>企业网上报价</w:t>
            </w:r>
          </w:p>
        </w:tc>
        <w:tc>
          <w:tcPr>
            <w:tcW w:w="2317" w:type="dxa"/>
          </w:tcPr>
          <w:p>
            <w:pPr>
              <w:pStyle w:val="TableParagraph"/>
              <w:spacing w:before="7"/>
              <w:ind w:left="2"/>
              <w:rPr>
                <w:sz w:val="24"/>
              </w:rPr>
            </w:pPr>
            <w:r>
              <w:rPr>
                <w:sz w:val="24"/>
              </w:rPr>
              <w:t>2018 年 10 月 23 日</w:t>
            </w:r>
          </w:p>
          <w:p>
            <w:pPr>
              <w:pStyle w:val="TableParagraph"/>
              <w:spacing w:before="50"/>
              <w:ind w:left="52" w:right="52"/>
              <w:rPr>
                <w:sz w:val="24"/>
              </w:rPr>
            </w:pPr>
            <w:r>
              <w:rPr>
                <w:spacing w:val="-20"/>
                <w:sz w:val="24"/>
              </w:rPr>
              <w:t>上午 </w:t>
            </w:r>
            <w:r>
              <w:rPr>
                <w:w w:val="99"/>
                <w:sz w:val="24"/>
              </w:rPr>
              <w:t>9</w:t>
            </w:r>
            <w:r>
              <w:rPr>
                <w:w w:val="49"/>
                <w:sz w:val="24"/>
              </w:rPr>
              <w:t>:</w:t>
            </w:r>
            <w:r>
              <w:rPr>
                <w:spacing w:val="-2"/>
                <w:w w:val="99"/>
                <w:sz w:val="24"/>
              </w:rPr>
              <w:t>0</w:t>
            </w:r>
            <w:r>
              <w:rPr>
                <w:w w:val="99"/>
                <w:sz w:val="24"/>
              </w:rPr>
              <w:t>0</w:t>
            </w:r>
          </w:p>
        </w:tc>
        <w:tc>
          <w:tcPr>
            <w:tcW w:w="3525" w:type="dxa"/>
          </w:tcPr>
          <w:p>
            <w:pPr>
              <w:pStyle w:val="TableParagraph"/>
              <w:spacing w:before="184"/>
              <w:ind w:left="0"/>
              <w:rPr>
                <w:sz w:val="24"/>
              </w:rPr>
            </w:pPr>
            <w:r>
              <w:rPr>
                <w:w w:val="99"/>
                <w:sz w:val="24"/>
              </w:rPr>
              <w:t>20</w:t>
            </w:r>
            <w:r>
              <w:rPr>
                <w:spacing w:val="-2"/>
                <w:w w:val="99"/>
                <w:sz w:val="24"/>
              </w:rPr>
              <w:t>1</w:t>
            </w:r>
            <w:r>
              <w:rPr>
                <w:w w:val="99"/>
                <w:sz w:val="24"/>
              </w:rPr>
              <w:t>8</w:t>
            </w:r>
            <w:r>
              <w:rPr>
                <w:spacing w:val="-40"/>
                <w:sz w:val="24"/>
              </w:rPr>
              <w:t> 年 </w:t>
            </w:r>
            <w:r>
              <w:rPr>
                <w:w w:val="99"/>
                <w:sz w:val="24"/>
              </w:rPr>
              <w:t>10</w:t>
            </w:r>
            <w:r>
              <w:rPr>
                <w:spacing w:val="-41"/>
                <w:sz w:val="24"/>
              </w:rPr>
              <w:t> 月 </w:t>
            </w:r>
            <w:r>
              <w:rPr>
                <w:w w:val="99"/>
                <w:sz w:val="24"/>
              </w:rPr>
              <w:t>23</w:t>
            </w:r>
            <w:r>
              <w:rPr>
                <w:spacing w:val="-25"/>
                <w:sz w:val="24"/>
              </w:rPr>
              <w:t> 日下午 </w:t>
            </w:r>
            <w:r>
              <w:rPr>
                <w:w w:val="99"/>
                <w:sz w:val="24"/>
              </w:rPr>
              <w:t>17</w:t>
            </w:r>
            <w:r>
              <w:rPr>
                <w:spacing w:val="-2"/>
                <w:w w:val="49"/>
                <w:sz w:val="24"/>
              </w:rPr>
              <w:t>:</w:t>
            </w:r>
            <w:r>
              <w:rPr>
                <w:w w:val="99"/>
                <w:sz w:val="24"/>
              </w:rPr>
              <w:t>00</w:t>
            </w:r>
          </w:p>
        </w:tc>
      </w:tr>
      <w:tr>
        <w:trPr>
          <w:trHeight w:val="359" w:hRule="atLeast"/>
        </w:trPr>
        <w:tc>
          <w:tcPr>
            <w:tcW w:w="562" w:type="dxa"/>
          </w:tcPr>
          <w:p>
            <w:pPr>
              <w:pStyle w:val="TableParagraph"/>
              <w:spacing w:before="7"/>
              <w:ind w:left="138" w:right="134"/>
              <w:rPr>
                <w:sz w:val="24"/>
              </w:rPr>
            </w:pPr>
            <w:r>
              <w:rPr>
                <w:sz w:val="24"/>
              </w:rPr>
              <w:t>15</w:t>
            </w:r>
          </w:p>
        </w:tc>
        <w:tc>
          <w:tcPr>
            <w:tcW w:w="2454" w:type="dxa"/>
          </w:tcPr>
          <w:p>
            <w:pPr>
              <w:pStyle w:val="TableParagraph"/>
              <w:spacing w:before="7"/>
              <w:ind w:left="123" w:right="121"/>
              <w:rPr>
                <w:sz w:val="24"/>
              </w:rPr>
            </w:pPr>
            <w:r>
              <w:rPr>
                <w:sz w:val="24"/>
              </w:rPr>
              <w:t>经济技术标评审</w:t>
            </w:r>
          </w:p>
        </w:tc>
        <w:tc>
          <w:tcPr>
            <w:tcW w:w="2317" w:type="dxa"/>
          </w:tcPr>
          <w:p>
            <w:pPr>
              <w:pStyle w:val="TableParagraph"/>
              <w:spacing w:before="7"/>
              <w:ind w:left="2"/>
              <w:rPr>
                <w:sz w:val="24"/>
              </w:rPr>
            </w:pPr>
            <w:r>
              <w:rPr>
                <w:sz w:val="24"/>
              </w:rPr>
              <w:t>2018 年 10 月 25 日</w:t>
            </w:r>
          </w:p>
        </w:tc>
        <w:tc>
          <w:tcPr>
            <w:tcW w:w="3525" w:type="dxa"/>
          </w:tcPr>
          <w:p>
            <w:pPr>
              <w:pStyle w:val="TableParagraph"/>
              <w:ind w:left="0"/>
              <w:jc w:val="left"/>
              <w:rPr>
                <w:rFonts w:ascii="Times New Roman"/>
                <w:sz w:val="22"/>
              </w:rPr>
            </w:pPr>
          </w:p>
        </w:tc>
      </w:tr>
      <w:tr>
        <w:trPr>
          <w:trHeight w:val="357" w:hRule="atLeast"/>
        </w:trPr>
        <w:tc>
          <w:tcPr>
            <w:tcW w:w="562" w:type="dxa"/>
          </w:tcPr>
          <w:p>
            <w:pPr>
              <w:pStyle w:val="TableParagraph"/>
              <w:spacing w:before="7"/>
              <w:ind w:left="138" w:right="134"/>
              <w:rPr>
                <w:sz w:val="24"/>
              </w:rPr>
            </w:pPr>
            <w:r>
              <w:rPr>
                <w:sz w:val="24"/>
              </w:rPr>
              <w:t>16</w:t>
            </w:r>
          </w:p>
        </w:tc>
        <w:tc>
          <w:tcPr>
            <w:tcW w:w="2454" w:type="dxa"/>
          </w:tcPr>
          <w:p>
            <w:pPr>
              <w:pStyle w:val="TableParagraph"/>
              <w:spacing w:before="7"/>
              <w:ind w:left="123" w:right="121"/>
              <w:rPr>
                <w:sz w:val="24"/>
              </w:rPr>
            </w:pPr>
            <w:r>
              <w:rPr>
                <w:sz w:val="24"/>
              </w:rPr>
              <w:t>经济技术标评审公示</w:t>
            </w:r>
          </w:p>
        </w:tc>
        <w:tc>
          <w:tcPr>
            <w:tcW w:w="2317" w:type="dxa"/>
          </w:tcPr>
          <w:p>
            <w:pPr>
              <w:pStyle w:val="TableParagraph"/>
              <w:spacing w:before="7"/>
              <w:ind w:left="2"/>
              <w:rPr>
                <w:sz w:val="24"/>
              </w:rPr>
            </w:pPr>
            <w:r>
              <w:rPr>
                <w:sz w:val="24"/>
              </w:rPr>
              <w:t>2018 年 10 月 26 日</w:t>
            </w:r>
          </w:p>
        </w:tc>
        <w:tc>
          <w:tcPr>
            <w:tcW w:w="3525" w:type="dxa"/>
          </w:tcPr>
          <w:p>
            <w:pPr>
              <w:pStyle w:val="TableParagraph"/>
              <w:spacing w:before="7"/>
              <w:ind w:left="3"/>
              <w:rPr>
                <w:sz w:val="24"/>
              </w:rPr>
            </w:pPr>
            <w:r>
              <w:rPr>
                <w:sz w:val="24"/>
              </w:rPr>
              <w:t>2018 年 11 月 1 日</w:t>
            </w:r>
          </w:p>
        </w:tc>
      </w:tr>
      <w:tr>
        <w:trPr>
          <w:trHeight w:val="357" w:hRule="atLeast"/>
        </w:trPr>
        <w:tc>
          <w:tcPr>
            <w:tcW w:w="562" w:type="dxa"/>
          </w:tcPr>
          <w:p>
            <w:pPr>
              <w:pStyle w:val="TableParagraph"/>
              <w:spacing w:before="7"/>
              <w:ind w:left="138" w:right="134"/>
              <w:rPr>
                <w:sz w:val="24"/>
              </w:rPr>
            </w:pPr>
            <w:r>
              <w:rPr>
                <w:sz w:val="24"/>
              </w:rPr>
              <w:t>17</w:t>
            </w:r>
          </w:p>
        </w:tc>
        <w:tc>
          <w:tcPr>
            <w:tcW w:w="2454" w:type="dxa"/>
          </w:tcPr>
          <w:p>
            <w:pPr>
              <w:pStyle w:val="TableParagraph"/>
              <w:spacing w:before="7"/>
              <w:ind w:left="123" w:right="121"/>
              <w:rPr>
                <w:sz w:val="24"/>
              </w:rPr>
            </w:pPr>
            <w:r>
              <w:rPr>
                <w:sz w:val="24"/>
              </w:rPr>
              <w:t>处理经济技术标申诉</w:t>
            </w:r>
          </w:p>
        </w:tc>
        <w:tc>
          <w:tcPr>
            <w:tcW w:w="2317" w:type="dxa"/>
          </w:tcPr>
          <w:p>
            <w:pPr>
              <w:pStyle w:val="TableParagraph"/>
              <w:spacing w:before="7"/>
              <w:ind w:left="2"/>
              <w:rPr>
                <w:sz w:val="24"/>
              </w:rPr>
            </w:pPr>
            <w:r>
              <w:rPr>
                <w:sz w:val="24"/>
              </w:rPr>
              <w:t>2018 年 10 月 25 日</w:t>
            </w:r>
          </w:p>
        </w:tc>
        <w:tc>
          <w:tcPr>
            <w:tcW w:w="3525" w:type="dxa"/>
          </w:tcPr>
          <w:p>
            <w:pPr>
              <w:pStyle w:val="TableParagraph"/>
              <w:spacing w:before="7"/>
              <w:ind w:left="3"/>
              <w:rPr>
                <w:sz w:val="24"/>
              </w:rPr>
            </w:pPr>
            <w:r>
              <w:rPr>
                <w:sz w:val="24"/>
              </w:rPr>
              <w:t>2018 年 11 月 5 日</w:t>
            </w:r>
          </w:p>
        </w:tc>
      </w:tr>
      <w:tr>
        <w:trPr>
          <w:trHeight w:val="359" w:hRule="atLeast"/>
        </w:trPr>
        <w:tc>
          <w:tcPr>
            <w:tcW w:w="562" w:type="dxa"/>
          </w:tcPr>
          <w:p>
            <w:pPr>
              <w:pStyle w:val="TableParagraph"/>
              <w:spacing w:before="9"/>
              <w:ind w:left="138" w:right="134"/>
              <w:rPr>
                <w:sz w:val="24"/>
              </w:rPr>
            </w:pPr>
            <w:r>
              <w:rPr>
                <w:sz w:val="24"/>
              </w:rPr>
              <w:t>18</w:t>
            </w:r>
          </w:p>
        </w:tc>
        <w:tc>
          <w:tcPr>
            <w:tcW w:w="2454" w:type="dxa"/>
          </w:tcPr>
          <w:p>
            <w:pPr>
              <w:pStyle w:val="TableParagraph"/>
              <w:spacing w:before="9"/>
              <w:ind w:left="123" w:right="121"/>
              <w:rPr>
                <w:sz w:val="24"/>
              </w:rPr>
            </w:pPr>
            <w:r>
              <w:rPr>
                <w:sz w:val="24"/>
              </w:rPr>
              <w:t>经济技术标评审公布</w:t>
            </w:r>
          </w:p>
        </w:tc>
        <w:tc>
          <w:tcPr>
            <w:tcW w:w="2317" w:type="dxa"/>
          </w:tcPr>
          <w:p>
            <w:pPr>
              <w:pStyle w:val="TableParagraph"/>
              <w:spacing w:before="9"/>
              <w:ind w:left="54" w:right="52"/>
              <w:rPr>
                <w:sz w:val="24"/>
              </w:rPr>
            </w:pPr>
            <w:r>
              <w:rPr>
                <w:sz w:val="24"/>
              </w:rPr>
              <w:t>2018 年 11 月 6 日</w:t>
            </w:r>
          </w:p>
        </w:tc>
        <w:tc>
          <w:tcPr>
            <w:tcW w:w="3525" w:type="dxa"/>
          </w:tcPr>
          <w:p>
            <w:pPr>
              <w:pStyle w:val="TableParagraph"/>
              <w:ind w:left="0"/>
              <w:jc w:val="left"/>
              <w:rPr>
                <w:rFonts w:ascii="Times New Roman"/>
                <w:sz w:val="22"/>
              </w:rPr>
            </w:pPr>
          </w:p>
        </w:tc>
      </w:tr>
      <w:tr>
        <w:trPr>
          <w:trHeight w:val="715" w:hRule="atLeast"/>
        </w:trPr>
        <w:tc>
          <w:tcPr>
            <w:tcW w:w="562" w:type="dxa"/>
          </w:tcPr>
          <w:p>
            <w:pPr>
              <w:pStyle w:val="TableParagraph"/>
              <w:spacing w:before="187"/>
              <w:ind w:left="138" w:right="134"/>
              <w:rPr>
                <w:sz w:val="24"/>
              </w:rPr>
            </w:pPr>
            <w:r>
              <w:rPr>
                <w:sz w:val="24"/>
              </w:rPr>
              <w:t>19</w:t>
            </w:r>
          </w:p>
        </w:tc>
        <w:tc>
          <w:tcPr>
            <w:tcW w:w="2454" w:type="dxa"/>
          </w:tcPr>
          <w:p>
            <w:pPr>
              <w:pStyle w:val="TableParagraph"/>
              <w:spacing w:before="187"/>
              <w:ind w:left="123" w:right="121"/>
              <w:rPr>
                <w:sz w:val="24"/>
              </w:rPr>
            </w:pPr>
            <w:r>
              <w:rPr>
                <w:sz w:val="24"/>
              </w:rPr>
              <w:t>企业网上报价解密</w:t>
            </w:r>
          </w:p>
        </w:tc>
        <w:tc>
          <w:tcPr>
            <w:tcW w:w="2317" w:type="dxa"/>
          </w:tcPr>
          <w:p>
            <w:pPr>
              <w:pStyle w:val="TableParagraph"/>
              <w:spacing w:before="7"/>
              <w:ind w:left="54" w:right="52"/>
              <w:rPr>
                <w:sz w:val="24"/>
              </w:rPr>
            </w:pPr>
            <w:r>
              <w:rPr>
                <w:sz w:val="24"/>
              </w:rPr>
              <w:t>2018</w:t>
            </w:r>
            <w:r>
              <w:rPr>
                <w:spacing w:val="-41"/>
                <w:sz w:val="24"/>
              </w:rPr>
              <w:t> 年 </w:t>
            </w:r>
            <w:r>
              <w:rPr>
                <w:sz w:val="24"/>
              </w:rPr>
              <w:t>11</w:t>
            </w:r>
            <w:r>
              <w:rPr>
                <w:spacing w:val="-43"/>
                <w:sz w:val="24"/>
              </w:rPr>
              <w:t> 月 </w:t>
            </w:r>
            <w:r>
              <w:rPr>
                <w:sz w:val="24"/>
              </w:rPr>
              <w:t>7</w:t>
            </w:r>
            <w:r>
              <w:rPr>
                <w:spacing w:val="-21"/>
                <w:sz w:val="24"/>
              </w:rPr>
              <w:t> 日上</w:t>
            </w:r>
          </w:p>
          <w:p>
            <w:pPr>
              <w:pStyle w:val="TableParagraph"/>
              <w:spacing w:before="50"/>
              <w:ind w:left="52" w:right="52"/>
              <w:rPr>
                <w:sz w:val="24"/>
              </w:rPr>
            </w:pPr>
            <w:r>
              <w:rPr>
                <w:spacing w:val="-30"/>
                <w:sz w:val="24"/>
              </w:rPr>
              <w:t>午 </w:t>
            </w:r>
            <w:r>
              <w:rPr>
                <w:w w:val="99"/>
                <w:sz w:val="24"/>
              </w:rPr>
              <w:t>9</w:t>
            </w:r>
            <w:r>
              <w:rPr>
                <w:w w:val="49"/>
                <w:sz w:val="24"/>
              </w:rPr>
              <w:t>:</w:t>
            </w:r>
            <w:r>
              <w:rPr>
                <w:spacing w:val="-2"/>
                <w:w w:val="99"/>
                <w:sz w:val="24"/>
              </w:rPr>
              <w:t>0</w:t>
            </w:r>
            <w:r>
              <w:rPr>
                <w:w w:val="99"/>
                <w:sz w:val="24"/>
              </w:rPr>
              <w:t>0</w:t>
            </w:r>
          </w:p>
        </w:tc>
        <w:tc>
          <w:tcPr>
            <w:tcW w:w="3525" w:type="dxa"/>
          </w:tcPr>
          <w:p>
            <w:pPr>
              <w:pStyle w:val="TableParagraph"/>
              <w:spacing w:before="187"/>
              <w:ind w:left="0"/>
              <w:rPr>
                <w:sz w:val="24"/>
              </w:rPr>
            </w:pPr>
            <w:r>
              <w:rPr>
                <w:w w:val="99"/>
                <w:sz w:val="24"/>
              </w:rPr>
              <w:t>20</w:t>
            </w:r>
            <w:r>
              <w:rPr>
                <w:spacing w:val="-2"/>
                <w:w w:val="99"/>
                <w:sz w:val="24"/>
              </w:rPr>
              <w:t>1</w:t>
            </w:r>
            <w:r>
              <w:rPr>
                <w:w w:val="99"/>
                <w:sz w:val="24"/>
              </w:rPr>
              <w:t>8</w:t>
            </w:r>
            <w:r>
              <w:rPr>
                <w:spacing w:val="-40"/>
                <w:sz w:val="24"/>
              </w:rPr>
              <w:t> 年 </w:t>
            </w:r>
            <w:r>
              <w:rPr>
                <w:w w:val="99"/>
                <w:sz w:val="24"/>
              </w:rPr>
              <w:t>11</w:t>
            </w:r>
            <w:r>
              <w:rPr>
                <w:spacing w:val="-41"/>
                <w:sz w:val="24"/>
              </w:rPr>
              <w:t> 月 </w:t>
            </w:r>
            <w:r>
              <w:rPr>
                <w:w w:val="99"/>
                <w:sz w:val="24"/>
              </w:rPr>
              <w:t>7</w:t>
            </w:r>
            <w:r>
              <w:rPr>
                <w:spacing w:val="-25"/>
                <w:sz w:val="24"/>
              </w:rPr>
              <w:t> 日下午 </w:t>
            </w:r>
            <w:r>
              <w:rPr>
                <w:w w:val="99"/>
                <w:sz w:val="24"/>
              </w:rPr>
              <w:t>17</w:t>
            </w:r>
            <w:r>
              <w:rPr>
                <w:spacing w:val="-2"/>
                <w:w w:val="49"/>
                <w:sz w:val="24"/>
              </w:rPr>
              <w:t>:</w:t>
            </w:r>
            <w:r>
              <w:rPr>
                <w:w w:val="99"/>
                <w:sz w:val="24"/>
              </w:rPr>
              <w:t>00</w:t>
            </w:r>
          </w:p>
        </w:tc>
      </w:tr>
      <w:tr>
        <w:trPr>
          <w:trHeight w:val="359" w:hRule="atLeast"/>
        </w:trPr>
        <w:tc>
          <w:tcPr>
            <w:tcW w:w="562" w:type="dxa"/>
          </w:tcPr>
          <w:p>
            <w:pPr>
              <w:pStyle w:val="TableParagraph"/>
              <w:spacing w:before="9"/>
              <w:ind w:left="138" w:right="134"/>
              <w:rPr>
                <w:sz w:val="24"/>
              </w:rPr>
            </w:pPr>
            <w:r>
              <w:rPr>
                <w:sz w:val="24"/>
              </w:rPr>
              <w:t>20</w:t>
            </w:r>
          </w:p>
        </w:tc>
        <w:tc>
          <w:tcPr>
            <w:tcW w:w="2454" w:type="dxa"/>
          </w:tcPr>
          <w:p>
            <w:pPr>
              <w:pStyle w:val="TableParagraph"/>
              <w:spacing w:before="9"/>
              <w:ind w:left="123" w:right="121"/>
              <w:rPr>
                <w:sz w:val="24"/>
              </w:rPr>
            </w:pPr>
            <w:r>
              <w:rPr>
                <w:sz w:val="24"/>
              </w:rPr>
              <w:t>商务标评审</w:t>
            </w:r>
          </w:p>
        </w:tc>
        <w:tc>
          <w:tcPr>
            <w:tcW w:w="2317" w:type="dxa"/>
          </w:tcPr>
          <w:p>
            <w:pPr>
              <w:pStyle w:val="TableParagraph"/>
              <w:spacing w:before="9"/>
              <w:ind w:left="54" w:right="52"/>
              <w:rPr>
                <w:sz w:val="24"/>
              </w:rPr>
            </w:pPr>
            <w:r>
              <w:rPr>
                <w:sz w:val="24"/>
              </w:rPr>
              <w:t>2018 年 11 月 9 日</w:t>
            </w:r>
          </w:p>
        </w:tc>
        <w:tc>
          <w:tcPr>
            <w:tcW w:w="3525" w:type="dxa"/>
          </w:tcPr>
          <w:p>
            <w:pPr>
              <w:pStyle w:val="TableParagraph"/>
              <w:ind w:left="0"/>
              <w:jc w:val="left"/>
              <w:rPr>
                <w:rFonts w:ascii="Times New Roman"/>
                <w:sz w:val="22"/>
              </w:rPr>
            </w:pPr>
          </w:p>
        </w:tc>
      </w:tr>
      <w:tr>
        <w:trPr>
          <w:trHeight w:val="357" w:hRule="atLeast"/>
        </w:trPr>
        <w:tc>
          <w:tcPr>
            <w:tcW w:w="562" w:type="dxa"/>
          </w:tcPr>
          <w:p>
            <w:pPr>
              <w:pStyle w:val="TableParagraph"/>
              <w:spacing w:before="7"/>
              <w:ind w:left="138" w:right="134"/>
              <w:rPr>
                <w:sz w:val="24"/>
              </w:rPr>
            </w:pPr>
            <w:r>
              <w:rPr>
                <w:sz w:val="24"/>
              </w:rPr>
              <w:t>21</w:t>
            </w:r>
          </w:p>
        </w:tc>
        <w:tc>
          <w:tcPr>
            <w:tcW w:w="2454" w:type="dxa"/>
          </w:tcPr>
          <w:p>
            <w:pPr>
              <w:pStyle w:val="TableParagraph"/>
              <w:spacing w:before="7"/>
              <w:ind w:left="123" w:right="121"/>
              <w:rPr>
                <w:sz w:val="24"/>
              </w:rPr>
            </w:pPr>
            <w:r>
              <w:rPr>
                <w:sz w:val="24"/>
              </w:rPr>
              <w:t>商务标评审公示</w:t>
            </w:r>
          </w:p>
        </w:tc>
        <w:tc>
          <w:tcPr>
            <w:tcW w:w="2317" w:type="dxa"/>
          </w:tcPr>
          <w:p>
            <w:pPr>
              <w:pStyle w:val="TableParagraph"/>
              <w:spacing w:before="7"/>
              <w:ind w:left="2"/>
              <w:rPr>
                <w:sz w:val="24"/>
              </w:rPr>
            </w:pPr>
            <w:r>
              <w:rPr>
                <w:sz w:val="24"/>
              </w:rPr>
              <w:t>2018 年 11 月 10 日</w:t>
            </w:r>
          </w:p>
        </w:tc>
        <w:tc>
          <w:tcPr>
            <w:tcW w:w="3525" w:type="dxa"/>
          </w:tcPr>
          <w:p>
            <w:pPr>
              <w:pStyle w:val="TableParagraph"/>
              <w:spacing w:before="7"/>
              <w:ind w:left="2"/>
              <w:rPr>
                <w:sz w:val="24"/>
              </w:rPr>
            </w:pPr>
            <w:r>
              <w:rPr>
                <w:sz w:val="24"/>
              </w:rPr>
              <w:t>2018 年 11 月 16 日</w:t>
            </w:r>
          </w:p>
        </w:tc>
      </w:tr>
      <w:tr>
        <w:trPr>
          <w:trHeight w:val="359" w:hRule="atLeast"/>
        </w:trPr>
        <w:tc>
          <w:tcPr>
            <w:tcW w:w="562" w:type="dxa"/>
          </w:tcPr>
          <w:p>
            <w:pPr>
              <w:pStyle w:val="TableParagraph"/>
              <w:spacing w:before="7"/>
              <w:ind w:left="138" w:right="134"/>
              <w:rPr>
                <w:sz w:val="24"/>
              </w:rPr>
            </w:pPr>
            <w:r>
              <w:rPr>
                <w:sz w:val="24"/>
              </w:rPr>
              <w:t>22</w:t>
            </w:r>
          </w:p>
        </w:tc>
        <w:tc>
          <w:tcPr>
            <w:tcW w:w="2454" w:type="dxa"/>
          </w:tcPr>
          <w:p>
            <w:pPr>
              <w:pStyle w:val="TableParagraph"/>
              <w:spacing w:before="7"/>
              <w:ind w:left="123" w:right="121"/>
              <w:rPr>
                <w:sz w:val="24"/>
              </w:rPr>
            </w:pPr>
            <w:r>
              <w:rPr>
                <w:sz w:val="24"/>
              </w:rPr>
              <w:t>公布入围结果</w:t>
            </w:r>
          </w:p>
        </w:tc>
        <w:tc>
          <w:tcPr>
            <w:tcW w:w="2317" w:type="dxa"/>
          </w:tcPr>
          <w:p>
            <w:pPr>
              <w:pStyle w:val="TableParagraph"/>
              <w:spacing w:before="7"/>
              <w:ind w:left="2"/>
              <w:rPr>
                <w:sz w:val="24"/>
              </w:rPr>
            </w:pPr>
            <w:r>
              <w:rPr>
                <w:sz w:val="24"/>
              </w:rPr>
              <w:t>2018 年 11 月 19 日</w:t>
            </w:r>
          </w:p>
        </w:tc>
        <w:tc>
          <w:tcPr>
            <w:tcW w:w="3525" w:type="dxa"/>
          </w:tcPr>
          <w:p>
            <w:pPr>
              <w:pStyle w:val="TableParagraph"/>
              <w:ind w:left="0"/>
              <w:jc w:val="left"/>
              <w:rPr>
                <w:rFonts w:ascii="Times New Roman"/>
                <w:sz w:val="22"/>
              </w:rPr>
            </w:pPr>
          </w:p>
        </w:tc>
      </w:tr>
      <w:tr>
        <w:trPr>
          <w:trHeight w:val="714" w:hRule="atLeast"/>
        </w:trPr>
        <w:tc>
          <w:tcPr>
            <w:tcW w:w="562" w:type="dxa"/>
          </w:tcPr>
          <w:p>
            <w:pPr>
              <w:pStyle w:val="TableParagraph"/>
              <w:spacing w:before="184"/>
              <w:ind w:left="138" w:right="134"/>
              <w:rPr>
                <w:sz w:val="24"/>
              </w:rPr>
            </w:pPr>
            <w:r>
              <w:rPr>
                <w:sz w:val="24"/>
              </w:rPr>
              <w:t>23</w:t>
            </w:r>
          </w:p>
        </w:tc>
        <w:tc>
          <w:tcPr>
            <w:tcW w:w="2454" w:type="dxa"/>
          </w:tcPr>
          <w:p>
            <w:pPr>
              <w:pStyle w:val="TableParagraph"/>
              <w:spacing w:before="184"/>
              <w:ind w:left="123" w:right="121"/>
              <w:rPr>
                <w:sz w:val="24"/>
              </w:rPr>
            </w:pPr>
            <w:r>
              <w:rPr>
                <w:sz w:val="24"/>
              </w:rPr>
              <w:t>中标企业指定配送</w:t>
            </w:r>
          </w:p>
        </w:tc>
        <w:tc>
          <w:tcPr>
            <w:tcW w:w="2317" w:type="dxa"/>
          </w:tcPr>
          <w:p>
            <w:pPr>
              <w:pStyle w:val="TableParagraph"/>
              <w:spacing w:before="184"/>
              <w:ind w:left="2"/>
              <w:rPr>
                <w:sz w:val="24"/>
              </w:rPr>
            </w:pPr>
            <w:r>
              <w:rPr>
                <w:sz w:val="24"/>
              </w:rPr>
              <w:t>2018 年 11 月 20 日</w:t>
            </w:r>
          </w:p>
        </w:tc>
        <w:tc>
          <w:tcPr>
            <w:tcW w:w="3525" w:type="dxa"/>
          </w:tcPr>
          <w:p>
            <w:pPr>
              <w:pStyle w:val="TableParagraph"/>
              <w:spacing w:before="7"/>
              <w:ind w:left="0"/>
              <w:rPr>
                <w:sz w:val="24"/>
              </w:rPr>
            </w:pPr>
            <w:r>
              <w:rPr>
                <w:sz w:val="24"/>
              </w:rPr>
              <w:t>2018 年 11 月 26 日（周六、周</w:t>
            </w:r>
          </w:p>
          <w:p>
            <w:pPr>
              <w:pStyle w:val="TableParagraph"/>
              <w:spacing w:before="50"/>
              <w:ind w:left="0"/>
              <w:rPr>
                <w:sz w:val="24"/>
              </w:rPr>
            </w:pPr>
            <w:r>
              <w:rPr>
                <w:sz w:val="24"/>
              </w:rPr>
              <w:t>日正常上班）</w:t>
            </w:r>
          </w:p>
        </w:tc>
      </w:tr>
      <w:tr>
        <w:trPr>
          <w:trHeight w:val="359" w:hRule="atLeast"/>
        </w:trPr>
        <w:tc>
          <w:tcPr>
            <w:tcW w:w="562" w:type="dxa"/>
          </w:tcPr>
          <w:p>
            <w:pPr>
              <w:pStyle w:val="TableParagraph"/>
              <w:spacing w:before="7"/>
              <w:ind w:left="138" w:right="134"/>
              <w:rPr>
                <w:sz w:val="24"/>
              </w:rPr>
            </w:pPr>
            <w:r>
              <w:rPr>
                <w:sz w:val="24"/>
              </w:rPr>
              <w:t>24</w:t>
            </w:r>
          </w:p>
        </w:tc>
        <w:tc>
          <w:tcPr>
            <w:tcW w:w="2454" w:type="dxa"/>
          </w:tcPr>
          <w:p>
            <w:pPr>
              <w:pStyle w:val="TableParagraph"/>
              <w:spacing w:before="7"/>
              <w:ind w:left="123" w:right="121"/>
              <w:rPr>
                <w:sz w:val="24"/>
              </w:rPr>
            </w:pPr>
            <w:r>
              <w:rPr>
                <w:sz w:val="24"/>
              </w:rPr>
              <w:t>网上采购</w:t>
            </w:r>
          </w:p>
        </w:tc>
        <w:tc>
          <w:tcPr>
            <w:tcW w:w="2317" w:type="dxa"/>
          </w:tcPr>
          <w:p>
            <w:pPr>
              <w:pStyle w:val="TableParagraph"/>
              <w:spacing w:before="7"/>
              <w:ind w:left="2"/>
              <w:rPr>
                <w:sz w:val="24"/>
              </w:rPr>
            </w:pPr>
            <w:r>
              <w:rPr>
                <w:sz w:val="24"/>
              </w:rPr>
              <w:t>2018 年 11 月 27 日</w:t>
            </w:r>
          </w:p>
        </w:tc>
        <w:tc>
          <w:tcPr>
            <w:tcW w:w="3525" w:type="dxa"/>
          </w:tcPr>
          <w:p>
            <w:pPr>
              <w:pStyle w:val="TableParagraph"/>
              <w:ind w:left="0"/>
              <w:jc w:val="left"/>
              <w:rPr>
                <w:rFonts w:ascii="Times New Roman"/>
                <w:sz w:val="22"/>
              </w:rPr>
            </w:pPr>
          </w:p>
        </w:tc>
      </w:tr>
    </w:tbl>
    <w:p>
      <w:pPr>
        <w:spacing w:before="0"/>
        <w:ind w:left="712" w:right="0" w:firstLine="0"/>
        <w:jc w:val="left"/>
        <w:rPr>
          <w:rFonts w:ascii="微软雅黑" w:eastAsia="微软雅黑" w:hint="eastAsia"/>
          <w:b/>
          <w:sz w:val="18"/>
        </w:rPr>
      </w:pPr>
      <w:r>
        <w:rPr>
          <w:rFonts w:ascii="微软雅黑" w:eastAsia="微软雅黑" w:hint="eastAsia"/>
          <w:b/>
          <w:color w:val="FF0000"/>
          <w:sz w:val="18"/>
        </w:rPr>
        <w:t>备注：上述日程时间为初定安排，准确时间以徐州市卫生计生委网站及市耗材采购与监管平台通知为准</w:t>
      </w:r>
    </w:p>
    <w:p>
      <w:pPr>
        <w:spacing w:after="0"/>
        <w:jc w:val="left"/>
        <w:rPr>
          <w:rFonts w:ascii="微软雅黑" w:eastAsia="微软雅黑" w:hint="eastAsia"/>
          <w:sz w:val="18"/>
        </w:rPr>
        <w:sectPr>
          <w:pgSz w:w="11910" w:h="16840"/>
          <w:pgMar w:header="0" w:footer="1302" w:top="1360" w:bottom="1500" w:left="1220" w:right="1160"/>
        </w:sectPr>
      </w:pPr>
    </w:p>
    <w:p>
      <w:pPr>
        <w:pStyle w:val="BodyText"/>
        <w:spacing w:before="11"/>
        <w:ind w:left="0"/>
        <w:rPr>
          <w:rFonts w:ascii="微软雅黑"/>
          <w:b/>
          <w:sz w:val="11"/>
        </w:rPr>
      </w:pPr>
    </w:p>
    <w:p>
      <w:pPr>
        <w:pStyle w:val="BodyText"/>
        <w:spacing w:before="54"/>
      </w:pPr>
      <w:r>
        <w:rPr/>
        <w:t>附件 </w:t>
      </w:r>
      <w:r>
        <w:rPr>
          <w:rFonts w:ascii="Calibri" w:eastAsia="Calibri"/>
        </w:rPr>
        <w:t>4</w:t>
      </w:r>
      <w:r>
        <w:rPr/>
        <w:t>：</w:t>
      </w:r>
    </w:p>
    <w:p>
      <w:pPr>
        <w:pStyle w:val="BodyText"/>
        <w:spacing w:before="78"/>
        <w:ind w:left="2640"/>
      </w:pPr>
      <w:r>
        <w:rPr/>
        <w:t>经济技术评审指标表（60 分）</w:t>
      </w:r>
    </w:p>
    <w:p>
      <w:pPr>
        <w:pStyle w:val="BodyText"/>
        <w:spacing w:before="2"/>
        <w:ind w:left="0"/>
        <w:rPr>
          <w:sz w:val="10"/>
        </w:rPr>
      </w:pPr>
    </w:p>
    <w:tbl>
      <w:tblPr>
        <w:tblW w:w="0" w:type="auto"/>
        <w:jc w:val="left"/>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85"/>
        <w:gridCol w:w="2950"/>
        <w:gridCol w:w="3262"/>
        <w:gridCol w:w="1049"/>
      </w:tblGrid>
      <w:tr>
        <w:trPr>
          <w:trHeight w:val="494" w:hRule="atLeast"/>
        </w:trPr>
        <w:tc>
          <w:tcPr>
            <w:tcW w:w="1985" w:type="dxa"/>
          </w:tcPr>
          <w:p>
            <w:pPr>
              <w:pStyle w:val="TableParagraph"/>
              <w:spacing w:before="82"/>
              <w:ind w:left="551"/>
              <w:jc w:val="left"/>
              <w:rPr>
                <w:rFonts w:ascii="黑体" w:eastAsia="黑体" w:hint="eastAsia"/>
                <w:sz w:val="22"/>
              </w:rPr>
            </w:pPr>
            <w:r>
              <w:rPr>
                <w:rFonts w:ascii="黑体" w:eastAsia="黑体" w:hint="eastAsia"/>
                <w:sz w:val="22"/>
              </w:rPr>
              <w:t>评价指标</w:t>
            </w:r>
          </w:p>
        </w:tc>
        <w:tc>
          <w:tcPr>
            <w:tcW w:w="2950" w:type="dxa"/>
          </w:tcPr>
          <w:p>
            <w:pPr>
              <w:pStyle w:val="TableParagraph"/>
              <w:spacing w:before="82"/>
              <w:ind w:left="1236" w:right="1224"/>
              <w:rPr>
                <w:rFonts w:ascii="黑体" w:eastAsia="黑体" w:hint="eastAsia"/>
                <w:sz w:val="22"/>
              </w:rPr>
            </w:pPr>
            <w:r>
              <w:rPr>
                <w:rFonts w:ascii="黑体" w:eastAsia="黑体" w:hint="eastAsia"/>
                <w:sz w:val="22"/>
              </w:rPr>
              <w:t>描述</w:t>
            </w:r>
          </w:p>
        </w:tc>
        <w:tc>
          <w:tcPr>
            <w:tcW w:w="3262" w:type="dxa"/>
          </w:tcPr>
          <w:p>
            <w:pPr>
              <w:pStyle w:val="TableParagraph"/>
              <w:spacing w:before="82"/>
              <w:ind w:left="1389" w:right="1382"/>
              <w:rPr>
                <w:rFonts w:ascii="黑体" w:eastAsia="黑体" w:hint="eastAsia"/>
                <w:sz w:val="22"/>
              </w:rPr>
            </w:pPr>
            <w:r>
              <w:rPr>
                <w:rFonts w:ascii="黑体" w:eastAsia="黑体" w:hint="eastAsia"/>
                <w:sz w:val="22"/>
              </w:rPr>
              <w:t>指标</w:t>
            </w:r>
          </w:p>
        </w:tc>
        <w:tc>
          <w:tcPr>
            <w:tcW w:w="1049" w:type="dxa"/>
          </w:tcPr>
          <w:p>
            <w:pPr>
              <w:pStyle w:val="TableParagraph"/>
              <w:spacing w:before="82"/>
              <w:ind w:left="283" w:right="275"/>
              <w:rPr>
                <w:rFonts w:ascii="黑体" w:eastAsia="黑体" w:hint="eastAsia"/>
                <w:sz w:val="22"/>
              </w:rPr>
            </w:pPr>
            <w:r>
              <w:rPr>
                <w:rFonts w:ascii="黑体" w:eastAsia="黑体" w:hint="eastAsia"/>
                <w:sz w:val="22"/>
              </w:rPr>
              <w:t>分值</w:t>
            </w:r>
          </w:p>
        </w:tc>
      </w:tr>
      <w:tr>
        <w:trPr>
          <w:trHeight w:val="417" w:hRule="atLeast"/>
        </w:trPr>
        <w:tc>
          <w:tcPr>
            <w:tcW w:w="1985" w:type="dxa"/>
            <w:vMerge w:val="restart"/>
          </w:tcPr>
          <w:p>
            <w:pPr>
              <w:pStyle w:val="TableParagraph"/>
              <w:spacing w:before="94"/>
              <w:ind w:left="89" w:right="78"/>
              <w:rPr>
                <w:b/>
                <w:sz w:val="22"/>
              </w:rPr>
            </w:pPr>
            <w:r>
              <w:rPr>
                <w:b/>
                <w:sz w:val="22"/>
              </w:rPr>
              <w:t>产品质量认证情况</w:t>
            </w:r>
          </w:p>
          <w:p>
            <w:pPr>
              <w:pStyle w:val="TableParagraph"/>
              <w:spacing w:before="44"/>
              <w:ind w:left="89" w:right="78"/>
              <w:rPr>
                <w:b/>
                <w:sz w:val="22"/>
              </w:rPr>
            </w:pPr>
            <w:r>
              <w:rPr>
                <w:b/>
                <w:sz w:val="22"/>
              </w:rPr>
              <w:t>（客观）</w:t>
            </w:r>
          </w:p>
          <w:p>
            <w:pPr>
              <w:pStyle w:val="TableParagraph"/>
              <w:spacing w:before="47"/>
              <w:ind w:left="87" w:right="78"/>
              <w:rPr>
                <w:b/>
                <w:sz w:val="22"/>
              </w:rPr>
            </w:pPr>
            <w:r>
              <w:rPr>
                <w:rFonts w:ascii="Calibri" w:eastAsia="Calibri"/>
                <w:b/>
                <w:sz w:val="22"/>
              </w:rPr>
              <w:t>8 </w:t>
            </w:r>
            <w:r>
              <w:rPr>
                <w:b/>
                <w:sz w:val="22"/>
              </w:rPr>
              <w:t>分</w:t>
            </w:r>
          </w:p>
        </w:tc>
        <w:tc>
          <w:tcPr>
            <w:tcW w:w="2950" w:type="dxa"/>
            <w:vMerge w:val="restart"/>
          </w:tcPr>
          <w:p>
            <w:pPr>
              <w:pStyle w:val="TableParagraph"/>
              <w:spacing w:before="10"/>
              <w:ind w:left="0"/>
              <w:jc w:val="left"/>
              <w:rPr>
                <w:sz w:val="32"/>
              </w:rPr>
            </w:pPr>
          </w:p>
          <w:p>
            <w:pPr>
              <w:pStyle w:val="TableParagraph"/>
              <w:jc w:val="left"/>
              <w:rPr>
                <w:sz w:val="22"/>
              </w:rPr>
            </w:pPr>
            <w:r>
              <w:rPr>
                <w:sz w:val="22"/>
              </w:rPr>
              <w:t>以产品质量认证情况为依据</w:t>
            </w:r>
          </w:p>
        </w:tc>
        <w:tc>
          <w:tcPr>
            <w:tcW w:w="3262" w:type="dxa"/>
          </w:tcPr>
          <w:p>
            <w:pPr>
              <w:pStyle w:val="TableParagraph"/>
              <w:spacing w:before="44"/>
              <w:jc w:val="left"/>
              <w:rPr>
                <w:rFonts w:ascii="Calibri" w:eastAsia="Calibri"/>
                <w:b/>
                <w:sz w:val="22"/>
              </w:rPr>
            </w:pPr>
            <w:r>
              <w:rPr>
                <w:b/>
                <w:spacing w:val="-20"/>
                <w:sz w:val="22"/>
              </w:rPr>
              <w:t>通过 </w:t>
            </w:r>
            <w:r>
              <w:rPr>
                <w:rFonts w:ascii="Calibri" w:eastAsia="Calibri"/>
                <w:b/>
                <w:sz w:val="22"/>
              </w:rPr>
              <w:t>FDA </w:t>
            </w:r>
            <w:r>
              <w:rPr>
                <w:b/>
                <w:spacing w:val="50"/>
                <w:sz w:val="22"/>
              </w:rPr>
              <w:t>和</w:t>
            </w:r>
            <w:r>
              <w:rPr>
                <w:rFonts w:ascii="Calibri" w:eastAsia="Calibri"/>
                <w:b/>
                <w:sz w:val="22"/>
              </w:rPr>
              <w:t>CE</w:t>
            </w:r>
          </w:p>
        </w:tc>
        <w:tc>
          <w:tcPr>
            <w:tcW w:w="1049" w:type="dxa"/>
          </w:tcPr>
          <w:p>
            <w:pPr>
              <w:pStyle w:val="TableParagraph"/>
              <w:spacing w:before="52"/>
              <w:ind w:left="5"/>
              <w:rPr>
                <w:rFonts w:ascii="Calibri"/>
                <w:b/>
                <w:sz w:val="22"/>
              </w:rPr>
            </w:pPr>
            <w:r>
              <w:rPr>
                <w:rFonts w:ascii="Calibri"/>
                <w:b/>
                <w:w w:val="100"/>
                <w:sz w:val="22"/>
              </w:rPr>
              <w:t>8</w:t>
            </w:r>
          </w:p>
        </w:tc>
      </w:tr>
      <w:tr>
        <w:trPr>
          <w:trHeight w:val="410" w:hRule="atLeast"/>
        </w:trPr>
        <w:tc>
          <w:tcPr>
            <w:tcW w:w="1985" w:type="dxa"/>
            <w:vMerge/>
            <w:tcBorders>
              <w:top w:val="nil"/>
            </w:tcBorders>
          </w:tcPr>
          <w:p>
            <w:pPr>
              <w:rPr>
                <w:sz w:val="2"/>
                <w:szCs w:val="2"/>
              </w:rPr>
            </w:pPr>
          </w:p>
        </w:tc>
        <w:tc>
          <w:tcPr>
            <w:tcW w:w="2950" w:type="dxa"/>
            <w:vMerge/>
            <w:tcBorders>
              <w:top w:val="nil"/>
            </w:tcBorders>
          </w:tcPr>
          <w:p>
            <w:pPr>
              <w:rPr>
                <w:sz w:val="2"/>
                <w:szCs w:val="2"/>
              </w:rPr>
            </w:pPr>
          </w:p>
        </w:tc>
        <w:tc>
          <w:tcPr>
            <w:tcW w:w="3262" w:type="dxa"/>
          </w:tcPr>
          <w:p>
            <w:pPr>
              <w:pStyle w:val="TableParagraph"/>
              <w:spacing w:before="39"/>
              <w:jc w:val="left"/>
              <w:rPr>
                <w:rFonts w:ascii="Calibri" w:eastAsia="Calibri"/>
                <w:sz w:val="22"/>
              </w:rPr>
            </w:pPr>
            <w:r>
              <w:rPr>
                <w:sz w:val="22"/>
              </w:rPr>
              <w:t>通过 </w:t>
            </w:r>
            <w:r>
              <w:rPr>
                <w:rFonts w:ascii="Calibri" w:eastAsia="Calibri"/>
                <w:sz w:val="22"/>
              </w:rPr>
              <w:t>FDA </w:t>
            </w:r>
            <w:r>
              <w:rPr>
                <w:sz w:val="22"/>
              </w:rPr>
              <w:t>或 </w:t>
            </w:r>
            <w:r>
              <w:rPr>
                <w:rFonts w:ascii="Calibri" w:eastAsia="Calibri"/>
                <w:sz w:val="22"/>
              </w:rPr>
              <w:t>CE</w:t>
            </w:r>
          </w:p>
        </w:tc>
        <w:tc>
          <w:tcPr>
            <w:tcW w:w="1049" w:type="dxa"/>
          </w:tcPr>
          <w:p>
            <w:pPr>
              <w:pStyle w:val="TableParagraph"/>
              <w:spacing w:before="47"/>
              <w:ind w:left="5"/>
              <w:rPr>
                <w:rFonts w:ascii="Calibri"/>
                <w:sz w:val="22"/>
              </w:rPr>
            </w:pPr>
            <w:r>
              <w:rPr>
                <w:rFonts w:ascii="Calibri"/>
                <w:w w:val="100"/>
                <w:sz w:val="22"/>
              </w:rPr>
              <w:t>4</w:t>
            </w:r>
          </w:p>
        </w:tc>
      </w:tr>
      <w:tr>
        <w:trPr>
          <w:trHeight w:val="325" w:hRule="atLeast"/>
        </w:trPr>
        <w:tc>
          <w:tcPr>
            <w:tcW w:w="1985" w:type="dxa"/>
            <w:vMerge/>
            <w:tcBorders>
              <w:top w:val="nil"/>
            </w:tcBorders>
          </w:tcPr>
          <w:p>
            <w:pPr>
              <w:rPr>
                <w:sz w:val="2"/>
                <w:szCs w:val="2"/>
              </w:rPr>
            </w:pPr>
          </w:p>
        </w:tc>
        <w:tc>
          <w:tcPr>
            <w:tcW w:w="2950" w:type="dxa"/>
            <w:vMerge/>
            <w:tcBorders>
              <w:top w:val="nil"/>
            </w:tcBorders>
          </w:tcPr>
          <w:p>
            <w:pPr>
              <w:rPr>
                <w:sz w:val="2"/>
                <w:szCs w:val="2"/>
              </w:rPr>
            </w:pPr>
          </w:p>
        </w:tc>
        <w:tc>
          <w:tcPr>
            <w:tcW w:w="3262" w:type="dxa"/>
          </w:tcPr>
          <w:p>
            <w:pPr>
              <w:pStyle w:val="TableParagraph"/>
              <w:spacing w:line="280" w:lineRule="exact"/>
              <w:jc w:val="left"/>
              <w:rPr>
                <w:sz w:val="22"/>
              </w:rPr>
            </w:pPr>
            <w:r>
              <w:rPr>
                <w:w w:val="100"/>
                <w:sz w:val="22"/>
              </w:rPr>
              <w:t>无</w:t>
            </w:r>
          </w:p>
        </w:tc>
        <w:tc>
          <w:tcPr>
            <w:tcW w:w="1049" w:type="dxa"/>
          </w:tcPr>
          <w:p>
            <w:pPr>
              <w:pStyle w:val="TableParagraph"/>
              <w:spacing w:before="6"/>
              <w:ind w:left="5"/>
              <w:rPr>
                <w:rFonts w:ascii="Calibri"/>
                <w:sz w:val="22"/>
              </w:rPr>
            </w:pPr>
            <w:r>
              <w:rPr>
                <w:rFonts w:ascii="Calibri"/>
                <w:w w:val="100"/>
                <w:sz w:val="22"/>
              </w:rPr>
              <w:t>0</w:t>
            </w:r>
          </w:p>
        </w:tc>
      </w:tr>
      <w:tr>
        <w:trPr>
          <w:trHeight w:val="421" w:hRule="atLeast"/>
        </w:trPr>
        <w:tc>
          <w:tcPr>
            <w:tcW w:w="1985" w:type="dxa"/>
            <w:vMerge w:val="restart"/>
          </w:tcPr>
          <w:p>
            <w:pPr>
              <w:pStyle w:val="TableParagraph"/>
              <w:spacing w:before="70"/>
              <w:ind w:left="89" w:right="78"/>
              <w:rPr>
                <w:b/>
                <w:sz w:val="22"/>
              </w:rPr>
            </w:pPr>
            <w:r>
              <w:rPr>
                <w:b/>
                <w:sz w:val="22"/>
              </w:rPr>
              <w:t>产品质量可靠性</w:t>
            </w:r>
          </w:p>
          <w:p>
            <w:pPr>
              <w:pStyle w:val="TableParagraph"/>
              <w:spacing w:before="47"/>
              <w:ind w:left="89" w:right="78"/>
              <w:rPr>
                <w:b/>
                <w:sz w:val="22"/>
              </w:rPr>
            </w:pPr>
            <w:r>
              <w:rPr>
                <w:b/>
                <w:sz w:val="22"/>
              </w:rPr>
              <w:t>（客观）</w:t>
            </w:r>
          </w:p>
          <w:p>
            <w:pPr>
              <w:pStyle w:val="TableParagraph"/>
              <w:spacing w:before="47"/>
              <w:ind w:left="87" w:right="78"/>
              <w:rPr>
                <w:b/>
                <w:sz w:val="22"/>
              </w:rPr>
            </w:pPr>
            <w:r>
              <w:rPr>
                <w:rFonts w:ascii="Calibri" w:eastAsia="Calibri"/>
                <w:b/>
                <w:sz w:val="22"/>
              </w:rPr>
              <w:t>8 </w:t>
            </w:r>
            <w:r>
              <w:rPr>
                <w:b/>
                <w:sz w:val="22"/>
              </w:rPr>
              <w:t>分</w:t>
            </w:r>
          </w:p>
        </w:tc>
        <w:tc>
          <w:tcPr>
            <w:tcW w:w="2950" w:type="dxa"/>
            <w:vMerge w:val="restart"/>
          </w:tcPr>
          <w:p>
            <w:pPr>
              <w:pStyle w:val="TableParagraph"/>
              <w:spacing w:line="280" w:lineRule="auto" w:before="70"/>
              <w:ind w:right="95"/>
              <w:jc w:val="both"/>
              <w:rPr>
                <w:sz w:val="22"/>
              </w:rPr>
            </w:pPr>
            <w:r>
              <w:rPr>
                <w:sz w:val="22"/>
              </w:rPr>
              <w:t>以 </w:t>
            </w:r>
            <w:r>
              <w:rPr>
                <w:rFonts w:ascii="Calibri" w:eastAsia="Calibri"/>
                <w:sz w:val="22"/>
              </w:rPr>
              <w:t>2015 </w:t>
            </w:r>
            <w:r>
              <w:rPr>
                <w:sz w:val="22"/>
              </w:rPr>
              <w:t>年以来国家、省、市医疗器械质量公告信息为准</w:t>
            </w:r>
          </w:p>
        </w:tc>
        <w:tc>
          <w:tcPr>
            <w:tcW w:w="3262" w:type="dxa"/>
          </w:tcPr>
          <w:p>
            <w:pPr>
              <w:pStyle w:val="TableParagraph"/>
              <w:spacing w:before="46"/>
              <w:jc w:val="left"/>
              <w:rPr>
                <w:b/>
                <w:sz w:val="22"/>
              </w:rPr>
            </w:pPr>
            <w:r>
              <w:rPr>
                <w:b/>
                <w:sz w:val="22"/>
              </w:rPr>
              <w:t>没有抽检不合格记录</w:t>
            </w:r>
          </w:p>
        </w:tc>
        <w:tc>
          <w:tcPr>
            <w:tcW w:w="1049" w:type="dxa"/>
          </w:tcPr>
          <w:p>
            <w:pPr>
              <w:pStyle w:val="TableParagraph"/>
              <w:spacing w:before="54"/>
              <w:ind w:left="5"/>
              <w:rPr>
                <w:rFonts w:ascii="Calibri"/>
                <w:b/>
                <w:sz w:val="22"/>
              </w:rPr>
            </w:pPr>
            <w:r>
              <w:rPr>
                <w:rFonts w:ascii="Calibri"/>
                <w:b/>
                <w:w w:val="100"/>
                <w:sz w:val="22"/>
              </w:rPr>
              <w:t>8</w:t>
            </w:r>
          </w:p>
        </w:tc>
      </w:tr>
      <w:tr>
        <w:trPr>
          <w:trHeight w:val="696" w:hRule="atLeast"/>
        </w:trPr>
        <w:tc>
          <w:tcPr>
            <w:tcW w:w="1985" w:type="dxa"/>
            <w:vMerge/>
            <w:tcBorders>
              <w:top w:val="nil"/>
            </w:tcBorders>
          </w:tcPr>
          <w:p>
            <w:pPr>
              <w:rPr>
                <w:sz w:val="2"/>
                <w:szCs w:val="2"/>
              </w:rPr>
            </w:pPr>
          </w:p>
        </w:tc>
        <w:tc>
          <w:tcPr>
            <w:tcW w:w="2950" w:type="dxa"/>
            <w:vMerge/>
            <w:tcBorders>
              <w:top w:val="nil"/>
            </w:tcBorders>
          </w:tcPr>
          <w:p>
            <w:pPr>
              <w:rPr>
                <w:sz w:val="2"/>
                <w:szCs w:val="2"/>
              </w:rPr>
            </w:pPr>
          </w:p>
        </w:tc>
        <w:tc>
          <w:tcPr>
            <w:tcW w:w="3262" w:type="dxa"/>
          </w:tcPr>
          <w:p>
            <w:pPr>
              <w:pStyle w:val="TableParagraph"/>
              <w:spacing w:before="18"/>
              <w:jc w:val="left"/>
              <w:rPr>
                <w:sz w:val="22"/>
              </w:rPr>
            </w:pPr>
            <w:r>
              <w:rPr>
                <w:sz w:val="22"/>
              </w:rPr>
              <w:t>企业有抽检不合格记录，但投</w:t>
            </w:r>
          </w:p>
          <w:p>
            <w:pPr>
              <w:pStyle w:val="TableParagraph"/>
              <w:spacing w:before="47"/>
              <w:jc w:val="left"/>
              <w:rPr>
                <w:sz w:val="22"/>
              </w:rPr>
            </w:pPr>
            <w:r>
              <w:rPr>
                <w:sz w:val="22"/>
              </w:rPr>
              <w:t>标产品无抽检不合格记录</w:t>
            </w:r>
          </w:p>
        </w:tc>
        <w:tc>
          <w:tcPr>
            <w:tcW w:w="1049" w:type="dxa"/>
          </w:tcPr>
          <w:p>
            <w:pPr>
              <w:pStyle w:val="TableParagraph"/>
              <w:spacing w:before="189"/>
              <w:ind w:left="5"/>
              <w:rPr>
                <w:rFonts w:ascii="Calibri"/>
                <w:sz w:val="22"/>
              </w:rPr>
            </w:pPr>
            <w:r>
              <w:rPr>
                <w:rFonts w:ascii="Calibri"/>
                <w:w w:val="100"/>
                <w:sz w:val="22"/>
              </w:rPr>
              <w:t>6</w:t>
            </w:r>
          </w:p>
        </w:tc>
      </w:tr>
      <w:tr>
        <w:trPr>
          <w:trHeight w:val="654" w:hRule="atLeast"/>
        </w:trPr>
        <w:tc>
          <w:tcPr>
            <w:tcW w:w="1985" w:type="dxa"/>
            <w:vMerge w:val="restart"/>
          </w:tcPr>
          <w:p>
            <w:pPr>
              <w:pStyle w:val="TableParagraph"/>
              <w:spacing w:before="11"/>
              <w:ind w:left="0"/>
              <w:jc w:val="left"/>
              <w:rPr>
                <w:sz w:val="22"/>
              </w:rPr>
            </w:pPr>
          </w:p>
          <w:p>
            <w:pPr>
              <w:pStyle w:val="TableParagraph"/>
              <w:ind w:left="89" w:right="78"/>
              <w:rPr>
                <w:b/>
                <w:sz w:val="22"/>
              </w:rPr>
            </w:pPr>
            <w:r>
              <w:rPr>
                <w:b/>
                <w:sz w:val="22"/>
              </w:rPr>
              <w:t>质量检验报告</w:t>
            </w:r>
          </w:p>
          <w:p>
            <w:pPr>
              <w:pStyle w:val="TableParagraph"/>
              <w:spacing w:before="47"/>
              <w:ind w:left="89" w:right="78"/>
              <w:rPr>
                <w:b/>
                <w:sz w:val="22"/>
              </w:rPr>
            </w:pPr>
            <w:r>
              <w:rPr>
                <w:b/>
                <w:sz w:val="22"/>
              </w:rPr>
              <w:t>（客观）</w:t>
            </w:r>
          </w:p>
          <w:p>
            <w:pPr>
              <w:pStyle w:val="TableParagraph"/>
              <w:spacing w:before="47"/>
              <w:ind w:left="87" w:right="78"/>
              <w:rPr>
                <w:b/>
                <w:sz w:val="22"/>
              </w:rPr>
            </w:pPr>
            <w:r>
              <w:rPr>
                <w:rFonts w:ascii="Calibri" w:eastAsia="Calibri"/>
                <w:b/>
                <w:sz w:val="22"/>
              </w:rPr>
              <w:t>3 </w:t>
            </w:r>
            <w:r>
              <w:rPr>
                <w:b/>
                <w:sz w:val="22"/>
              </w:rPr>
              <w:t>分</w:t>
            </w:r>
          </w:p>
        </w:tc>
        <w:tc>
          <w:tcPr>
            <w:tcW w:w="2950" w:type="dxa"/>
            <w:vMerge w:val="restart"/>
          </w:tcPr>
          <w:p>
            <w:pPr>
              <w:pStyle w:val="TableParagraph"/>
              <w:ind w:left="0"/>
              <w:jc w:val="left"/>
              <w:rPr>
                <w:sz w:val="22"/>
              </w:rPr>
            </w:pPr>
          </w:p>
          <w:p>
            <w:pPr>
              <w:pStyle w:val="TableParagraph"/>
              <w:spacing w:line="278" w:lineRule="auto" w:before="177"/>
              <w:ind w:right="95"/>
              <w:jc w:val="left"/>
              <w:rPr>
                <w:sz w:val="22"/>
              </w:rPr>
            </w:pPr>
            <w:r>
              <w:rPr>
                <w:sz w:val="22"/>
              </w:rPr>
              <w:t>以 </w:t>
            </w:r>
            <w:r>
              <w:rPr>
                <w:rFonts w:ascii="Calibri" w:eastAsia="Calibri"/>
                <w:sz w:val="22"/>
              </w:rPr>
              <w:t>2015 </w:t>
            </w:r>
            <w:r>
              <w:rPr>
                <w:sz w:val="22"/>
              </w:rPr>
              <w:t>年以来产品检测报告</w:t>
            </w:r>
          </w:p>
        </w:tc>
        <w:tc>
          <w:tcPr>
            <w:tcW w:w="3262" w:type="dxa"/>
          </w:tcPr>
          <w:p>
            <w:pPr>
              <w:pStyle w:val="TableParagraph"/>
              <w:spacing w:line="280" w:lineRule="exact"/>
              <w:jc w:val="left"/>
              <w:rPr>
                <w:b/>
                <w:sz w:val="22"/>
              </w:rPr>
            </w:pPr>
            <w:r>
              <w:rPr>
                <w:b/>
                <w:sz w:val="22"/>
              </w:rPr>
              <w:t>医疗器械检测机构出具的检测</w:t>
            </w:r>
          </w:p>
          <w:p>
            <w:pPr>
              <w:pStyle w:val="TableParagraph"/>
              <w:spacing w:before="47"/>
              <w:jc w:val="left"/>
              <w:rPr>
                <w:b/>
                <w:sz w:val="22"/>
              </w:rPr>
            </w:pPr>
            <w:r>
              <w:rPr>
                <w:b/>
                <w:sz w:val="22"/>
              </w:rPr>
              <w:t>报告</w:t>
            </w:r>
          </w:p>
        </w:tc>
        <w:tc>
          <w:tcPr>
            <w:tcW w:w="1049" w:type="dxa"/>
          </w:tcPr>
          <w:p>
            <w:pPr>
              <w:pStyle w:val="TableParagraph"/>
              <w:spacing w:before="169"/>
              <w:ind w:left="5"/>
              <w:rPr>
                <w:rFonts w:ascii="Calibri"/>
                <w:b/>
                <w:sz w:val="22"/>
              </w:rPr>
            </w:pPr>
            <w:r>
              <w:rPr>
                <w:rFonts w:ascii="Calibri"/>
                <w:b/>
                <w:w w:val="100"/>
                <w:sz w:val="22"/>
              </w:rPr>
              <w:t>3</w:t>
            </w:r>
          </w:p>
        </w:tc>
      </w:tr>
      <w:tr>
        <w:trPr>
          <w:trHeight w:val="474" w:hRule="atLeast"/>
        </w:trPr>
        <w:tc>
          <w:tcPr>
            <w:tcW w:w="1985" w:type="dxa"/>
            <w:vMerge/>
            <w:tcBorders>
              <w:top w:val="nil"/>
            </w:tcBorders>
          </w:tcPr>
          <w:p>
            <w:pPr>
              <w:rPr>
                <w:sz w:val="2"/>
                <w:szCs w:val="2"/>
              </w:rPr>
            </w:pPr>
          </w:p>
        </w:tc>
        <w:tc>
          <w:tcPr>
            <w:tcW w:w="2950" w:type="dxa"/>
            <w:vMerge/>
            <w:tcBorders>
              <w:top w:val="nil"/>
            </w:tcBorders>
          </w:tcPr>
          <w:p>
            <w:pPr>
              <w:rPr>
                <w:sz w:val="2"/>
                <w:szCs w:val="2"/>
              </w:rPr>
            </w:pPr>
          </w:p>
        </w:tc>
        <w:tc>
          <w:tcPr>
            <w:tcW w:w="3262" w:type="dxa"/>
          </w:tcPr>
          <w:p>
            <w:pPr>
              <w:pStyle w:val="TableParagraph"/>
              <w:spacing w:before="72"/>
              <w:jc w:val="left"/>
              <w:rPr>
                <w:sz w:val="22"/>
              </w:rPr>
            </w:pPr>
            <w:r>
              <w:rPr>
                <w:sz w:val="22"/>
              </w:rPr>
              <w:t>生产企业自检报告</w:t>
            </w:r>
          </w:p>
        </w:tc>
        <w:tc>
          <w:tcPr>
            <w:tcW w:w="1049" w:type="dxa"/>
          </w:tcPr>
          <w:p>
            <w:pPr>
              <w:pStyle w:val="TableParagraph"/>
              <w:spacing w:before="80"/>
              <w:ind w:left="5"/>
              <w:rPr>
                <w:rFonts w:ascii="Calibri"/>
                <w:sz w:val="22"/>
              </w:rPr>
            </w:pPr>
            <w:r>
              <w:rPr>
                <w:rFonts w:ascii="Calibri"/>
                <w:w w:val="100"/>
                <w:sz w:val="22"/>
              </w:rPr>
              <w:t>2</w:t>
            </w:r>
          </w:p>
        </w:tc>
      </w:tr>
      <w:tr>
        <w:trPr>
          <w:trHeight w:val="426" w:hRule="atLeast"/>
        </w:trPr>
        <w:tc>
          <w:tcPr>
            <w:tcW w:w="1985" w:type="dxa"/>
            <w:vMerge/>
            <w:tcBorders>
              <w:top w:val="nil"/>
            </w:tcBorders>
          </w:tcPr>
          <w:p>
            <w:pPr>
              <w:rPr>
                <w:sz w:val="2"/>
                <w:szCs w:val="2"/>
              </w:rPr>
            </w:pPr>
          </w:p>
        </w:tc>
        <w:tc>
          <w:tcPr>
            <w:tcW w:w="2950" w:type="dxa"/>
            <w:vMerge/>
            <w:tcBorders>
              <w:top w:val="nil"/>
            </w:tcBorders>
          </w:tcPr>
          <w:p>
            <w:pPr>
              <w:rPr>
                <w:sz w:val="2"/>
                <w:szCs w:val="2"/>
              </w:rPr>
            </w:pPr>
          </w:p>
        </w:tc>
        <w:tc>
          <w:tcPr>
            <w:tcW w:w="3262" w:type="dxa"/>
          </w:tcPr>
          <w:p>
            <w:pPr>
              <w:pStyle w:val="TableParagraph"/>
              <w:spacing w:before="48"/>
              <w:jc w:val="left"/>
              <w:rPr>
                <w:sz w:val="22"/>
              </w:rPr>
            </w:pPr>
            <w:r>
              <w:rPr>
                <w:w w:val="100"/>
                <w:sz w:val="22"/>
              </w:rPr>
              <w:t>无</w:t>
            </w:r>
          </w:p>
        </w:tc>
        <w:tc>
          <w:tcPr>
            <w:tcW w:w="1049" w:type="dxa"/>
          </w:tcPr>
          <w:p>
            <w:pPr>
              <w:pStyle w:val="TableParagraph"/>
              <w:spacing w:before="56"/>
              <w:ind w:left="5"/>
              <w:rPr>
                <w:rFonts w:ascii="Calibri"/>
                <w:sz w:val="22"/>
              </w:rPr>
            </w:pPr>
            <w:r>
              <w:rPr>
                <w:rFonts w:ascii="Calibri"/>
                <w:w w:val="100"/>
                <w:sz w:val="22"/>
              </w:rPr>
              <w:t>0</w:t>
            </w:r>
          </w:p>
        </w:tc>
      </w:tr>
      <w:tr>
        <w:trPr>
          <w:trHeight w:val="719" w:hRule="atLeast"/>
        </w:trPr>
        <w:tc>
          <w:tcPr>
            <w:tcW w:w="1985" w:type="dxa"/>
            <w:vMerge w:val="restart"/>
          </w:tcPr>
          <w:p>
            <w:pPr>
              <w:pStyle w:val="TableParagraph"/>
              <w:spacing w:before="161"/>
              <w:ind w:left="89" w:right="78"/>
              <w:rPr>
                <w:b/>
                <w:sz w:val="22"/>
              </w:rPr>
            </w:pPr>
            <w:r>
              <w:rPr>
                <w:b/>
                <w:sz w:val="22"/>
              </w:rPr>
              <w:t>国家级奖励</w:t>
            </w:r>
          </w:p>
          <w:p>
            <w:pPr>
              <w:pStyle w:val="TableParagraph"/>
              <w:spacing w:before="47"/>
              <w:ind w:left="89" w:right="78"/>
              <w:rPr>
                <w:b/>
                <w:sz w:val="22"/>
              </w:rPr>
            </w:pPr>
            <w:r>
              <w:rPr>
                <w:b/>
                <w:sz w:val="22"/>
              </w:rPr>
              <w:t>（客观）</w:t>
            </w:r>
          </w:p>
          <w:p>
            <w:pPr>
              <w:pStyle w:val="TableParagraph"/>
              <w:spacing w:before="47"/>
              <w:ind w:left="87" w:right="78"/>
              <w:rPr>
                <w:b/>
                <w:sz w:val="22"/>
              </w:rPr>
            </w:pPr>
            <w:r>
              <w:rPr>
                <w:rFonts w:ascii="Calibri" w:eastAsia="Calibri"/>
                <w:b/>
                <w:sz w:val="22"/>
              </w:rPr>
              <w:t>3 </w:t>
            </w:r>
            <w:r>
              <w:rPr>
                <w:b/>
                <w:sz w:val="22"/>
              </w:rPr>
              <w:t>分</w:t>
            </w:r>
          </w:p>
        </w:tc>
        <w:tc>
          <w:tcPr>
            <w:tcW w:w="2950" w:type="dxa"/>
            <w:vMerge w:val="restart"/>
          </w:tcPr>
          <w:p>
            <w:pPr>
              <w:pStyle w:val="TableParagraph"/>
              <w:spacing w:line="278" w:lineRule="auto"/>
              <w:ind w:right="95"/>
              <w:jc w:val="both"/>
              <w:rPr>
                <w:sz w:val="22"/>
              </w:rPr>
            </w:pPr>
            <w:r>
              <w:rPr>
                <w:sz w:val="22"/>
              </w:rPr>
              <w:t>指 </w:t>
            </w:r>
            <w:r>
              <w:rPr>
                <w:rFonts w:ascii="Calibri" w:eastAsia="Calibri"/>
                <w:sz w:val="22"/>
              </w:rPr>
              <w:t>2005 </w:t>
            </w:r>
            <w:r>
              <w:rPr>
                <w:sz w:val="22"/>
              </w:rPr>
              <w:t>年以来获得国家自然科学二等奖或国家科技进步二等奖及以上奖项的产</w:t>
            </w:r>
          </w:p>
          <w:p>
            <w:pPr>
              <w:pStyle w:val="TableParagraph"/>
              <w:spacing w:before="1"/>
              <w:jc w:val="both"/>
              <w:rPr>
                <w:sz w:val="22"/>
              </w:rPr>
            </w:pPr>
            <w:r>
              <w:rPr>
                <w:sz w:val="22"/>
              </w:rPr>
              <w:t>品，奖项内容与质量相关。</w:t>
            </w:r>
          </w:p>
        </w:tc>
        <w:tc>
          <w:tcPr>
            <w:tcW w:w="3262" w:type="dxa"/>
          </w:tcPr>
          <w:p>
            <w:pPr>
              <w:pStyle w:val="TableParagraph"/>
              <w:spacing w:before="195"/>
              <w:jc w:val="left"/>
              <w:rPr>
                <w:b/>
                <w:sz w:val="22"/>
              </w:rPr>
            </w:pPr>
            <w:r>
              <w:rPr>
                <w:b/>
                <w:w w:val="99"/>
                <w:sz w:val="22"/>
              </w:rPr>
              <w:t>有</w:t>
            </w:r>
          </w:p>
        </w:tc>
        <w:tc>
          <w:tcPr>
            <w:tcW w:w="1049" w:type="dxa"/>
          </w:tcPr>
          <w:p>
            <w:pPr>
              <w:pStyle w:val="TableParagraph"/>
              <w:spacing w:before="10"/>
              <w:ind w:left="0"/>
              <w:jc w:val="left"/>
              <w:rPr>
                <w:sz w:val="15"/>
              </w:rPr>
            </w:pPr>
          </w:p>
          <w:p>
            <w:pPr>
              <w:pStyle w:val="TableParagraph"/>
              <w:spacing w:before="1"/>
              <w:ind w:left="5"/>
              <w:rPr>
                <w:rFonts w:ascii="Calibri"/>
                <w:b/>
                <w:sz w:val="22"/>
              </w:rPr>
            </w:pPr>
            <w:r>
              <w:rPr>
                <w:rFonts w:ascii="Calibri"/>
                <w:b/>
                <w:w w:val="100"/>
                <w:sz w:val="22"/>
              </w:rPr>
              <w:t>3</w:t>
            </w:r>
          </w:p>
        </w:tc>
      </w:tr>
      <w:tr>
        <w:trPr>
          <w:trHeight w:val="582" w:hRule="atLeast"/>
        </w:trPr>
        <w:tc>
          <w:tcPr>
            <w:tcW w:w="1985" w:type="dxa"/>
            <w:vMerge/>
            <w:tcBorders>
              <w:top w:val="nil"/>
            </w:tcBorders>
          </w:tcPr>
          <w:p>
            <w:pPr>
              <w:rPr>
                <w:sz w:val="2"/>
                <w:szCs w:val="2"/>
              </w:rPr>
            </w:pPr>
          </w:p>
        </w:tc>
        <w:tc>
          <w:tcPr>
            <w:tcW w:w="2950" w:type="dxa"/>
            <w:vMerge/>
            <w:tcBorders>
              <w:top w:val="nil"/>
            </w:tcBorders>
          </w:tcPr>
          <w:p>
            <w:pPr>
              <w:rPr>
                <w:sz w:val="2"/>
                <w:szCs w:val="2"/>
              </w:rPr>
            </w:pPr>
          </w:p>
        </w:tc>
        <w:tc>
          <w:tcPr>
            <w:tcW w:w="3262" w:type="dxa"/>
          </w:tcPr>
          <w:p>
            <w:pPr>
              <w:pStyle w:val="TableParagraph"/>
              <w:spacing w:before="125"/>
              <w:jc w:val="left"/>
              <w:rPr>
                <w:sz w:val="22"/>
              </w:rPr>
            </w:pPr>
            <w:r>
              <w:rPr>
                <w:w w:val="100"/>
                <w:sz w:val="22"/>
              </w:rPr>
              <w:t>无</w:t>
            </w:r>
          </w:p>
        </w:tc>
        <w:tc>
          <w:tcPr>
            <w:tcW w:w="1049" w:type="dxa"/>
          </w:tcPr>
          <w:p>
            <w:pPr>
              <w:pStyle w:val="TableParagraph"/>
              <w:spacing w:before="133"/>
              <w:ind w:left="5"/>
              <w:rPr>
                <w:rFonts w:ascii="Calibri"/>
                <w:sz w:val="22"/>
              </w:rPr>
            </w:pPr>
            <w:r>
              <w:rPr>
                <w:rFonts w:ascii="Calibri"/>
                <w:w w:val="100"/>
                <w:sz w:val="22"/>
              </w:rPr>
              <w:t>0</w:t>
            </w:r>
          </w:p>
        </w:tc>
      </w:tr>
      <w:tr>
        <w:trPr>
          <w:trHeight w:val="422" w:hRule="atLeast"/>
        </w:trPr>
        <w:tc>
          <w:tcPr>
            <w:tcW w:w="1985" w:type="dxa"/>
            <w:vMerge w:val="restart"/>
          </w:tcPr>
          <w:p>
            <w:pPr>
              <w:pStyle w:val="TableParagraph"/>
              <w:spacing w:before="10"/>
              <w:ind w:left="0"/>
              <w:jc w:val="left"/>
              <w:rPr>
                <w:sz w:val="27"/>
              </w:rPr>
            </w:pPr>
          </w:p>
          <w:p>
            <w:pPr>
              <w:pStyle w:val="TableParagraph"/>
              <w:ind w:left="89" w:right="78"/>
              <w:rPr>
                <w:b/>
                <w:sz w:val="22"/>
              </w:rPr>
            </w:pPr>
            <w:r>
              <w:rPr>
                <w:b/>
                <w:sz w:val="22"/>
              </w:rPr>
              <w:t>专利</w:t>
            </w:r>
          </w:p>
          <w:p>
            <w:pPr>
              <w:pStyle w:val="TableParagraph"/>
              <w:spacing w:before="47"/>
              <w:ind w:left="89" w:right="78"/>
              <w:rPr>
                <w:b/>
                <w:sz w:val="22"/>
              </w:rPr>
            </w:pPr>
            <w:r>
              <w:rPr>
                <w:b/>
                <w:sz w:val="22"/>
              </w:rPr>
              <w:t>（客观）</w:t>
            </w:r>
          </w:p>
          <w:p>
            <w:pPr>
              <w:pStyle w:val="TableParagraph"/>
              <w:spacing w:before="44"/>
              <w:ind w:left="87" w:right="78"/>
              <w:rPr>
                <w:b/>
                <w:sz w:val="22"/>
              </w:rPr>
            </w:pPr>
            <w:r>
              <w:rPr>
                <w:rFonts w:ascii="Calibri" w:eastAsia="Calibri"/>
                <w:b/>
                <w:sz w:val="22"/>
              </w:rPr>
              <w:t>3 </w:t>
            </w:r>
            <w:r>
              <w:rPr>
                <w:b/>
                <w:sz w:val="22"/>
              </w:rPr>
              <w:t>分</w:t>
            </w:r>
          </w:p>
        </w:tc>
        <w:tc>
          <w:tcPr>
            <w:tcW w:w="2950" w:type="dxa"/>
            <w:vMerge w:val="restart"/>
          </w:tcPr>
          <w:p>
            <w:pPr>
              <w:pStyle w:val="TableParagraph"/>
              <w:ind w:left="0"/>
              <w:jc w:val="left"/>
              <w:rPr>
                <w:sz w:val="22"/>
              </w:rPr>
            </w:pPr>
          </w:p>
          <w:p>
            <w:pPr>
              <w:pStyle w:val="TableParagraph"/>
              <w:spacing w:before="6"/>
              <w:ind w:left="0"/>
              <w:jc w:val="left"/>
              <w:rPr>
                <w:sz w:val="18"/>
              </w:rPr>
            </w:pPr>
          </w:p>
          <w:p>
            <w:pPr>
              <w:pStyle w:val="TableParagraph"/>
              <w:spacing w:line="280" w:lineRule="auto" w:before="1"/>
              <w:ind w:right="95"/>
              <w:jc w:val="left"/>
              <w:rPr>
                <w:sz w:val="22"/>
              </w:rPr>
            </w:pPr>
            <w:r>
              <w:rPr>
                <w:sz w:val="22"/>
              </w:rPr>
              <w:t>是否具有专利证书（只认一个，以最高分为准）</w:t>
            </w:r>
          </w:p>
        </w:tc>
        <w:tc>
          <w:tcPr>
            <w:tcW w:w="3262" w:type="dxa"/>
          </w:tcPr>
          <w:p>
            <w:pPr>
              <w:pStyle w:val="TableParagraph"/>
              <w:spacing w:before="44"/>
              <w:jc w:val="left"/>
              <w:rPr>
                <w:b/>
                <w:sz w:val="22"/>
              </w:rPr>
            </w:pPr>
            <w:r>
              <w:rPr>
                <w:b/>
                <w:sz w:val="22"/>
              </w:rPr>
              <w:t>发明专利</w:t>
            </w:r>
          </w:p>
        </w:tc>
        <w:tc>
          <w:tcPr>
            <w:tcW w:w="1049" w:type="dxa"/>
          </w:tcPr>
          <w:p>
            <w:pPr>
              <w:pStyle w:val="TableParagraph"/>
              <w:spacing w:before="52"/>
              <w:ind w:left="5"/>
              <w:rPr>
                <w:rFonts w:ascii="Calibri"/>
                <w:b/>
                <w:sz w:val="22"/>
              </w:rPr>
            </w:pPr>
            <w:r>
              <w:rPr>
                <w:rFonts w:ascii="Calibri"/>
                <w:b/>
                <w:w w:val="100"/>
                <w:sz w:val="22"/>
              </w:rPr>
              <w:t>3</w:t>
            </w:r>
          </w:p>
        </w:tc>
      </w:tr>
      <w:tr>
        <w:trPr>
          <w:trHeight w:val="412" w:hRule="atLeast"/>
        </w:trPr>
        <w:tc>
          <w:tcPr>
            <w:tcW w:w="1985" w:type="dxa"/>
            <w:vMerge/>
            <w:tcBorders>
              <w:top w:val="nil"/>
            </w:tcBorders>
          </w:tcPr>
          <w:p>
            <w:pPr>
              <w:rPr>
                <w:sz w:val="2"/>
                <w:szCs w:val="2"/>
              </w:rPr>
            </w:pPr>
          </w:p>
        </w:tc>
        <w:tc>
          <w:tcPr>
            <w:tcW w:w="2950" w:type="dxa"/>
            <w:vMerge/>
            <w:tcBorders>
              <w:top w:val="nil"/>
            </w:tcBorders>
          </w:tcPr>
          <w:p>
            <w:pPr>
              <w:rPr>
                <w:sz w:val="2"/>
                <w:szCs w:val="2"/>
              </w:rPr>
            </w:pPr>
          </w:p>
        </w:tc>
        <w:tc>
          <w:tcPr>
            <w:tcW w:w="3262" w:type="dxa"/>
          </w:tcPr>
          <w:p>
            <w:pPr>
              <w:pStyle w:val="TableParagraph"/>
              <w:spacing w:before="41"/>
              <w:jc w:val="left"/>
              <w:rPr>
                <w:sz w:val="22"/>
              </w:rPr>
            </w:pPr>
            <w:r>
              <w:rPr>
                <w:sz w:val="22"/>
              </w:rPr>
              <w:t>实用新型专利</w:t>
            </w:r>
          </w:p>
        </w:tc>
        <w:tc>
          <w:tcPr>
            <w:tcW w:w="1049" w:type="dxa"/>
          </w:tcPr>
          <w:p>
            <w:pPr>
              <w:pStyle w:val="TableParagraph"/>
              <w:spacing w:before="49"/>
              <w:ind w:left="5"/>
              <w:rPr>
                <w:rFonts w:ascii="Calibri"/>
                <w:sz w:val="22"/>
              </w:rPr>
            </w:pPr>
            <w:r>
              <w:rPr>
                <w:rFonts w:ascii="Calibri"/>
                <w:w w:val="100"/>
                <w:sz w:val="22"/>
              </w:rPr>
              <w:t>2</w:t>
            </w:r>
          </w:p>
        </w:tc>
      </w:tr>
      <w:tr>
        <w:trPr>
          <w:trHeight w:val="421" w:hRule="atLeast"/>
        </w:trPr>
        <w:tc>
          <w:tcPr>
            <w:tcW w:w="1985" w:type="dxa"/>
            <w:vMerge/>
            <w:tcBorders>
              <w:top w:val="nil"/>
            </w:tcBorders>
          </w:tcPr>
          <w:p>
            <w:pPr>
              <w:rPr>
                <w:sz w:val="2"/>
                <w:szCs w:val="2"/>
              </w:rPr>
            </w:pPr>
          </w:p>
        </w:tc>
        <w:tc>
          <w:tcPr>
            <w:tcW w:w="2950" w:type="dxa"/>
            <w:vMerge/>
            <w:tcBorders>
              <w:top w:val="nil"/>
            </w:tcBorders>
          </w:tcPr>
          <w:p>
            <w:pPr>
              <w:rPr>
                <w:sz w:val="2"/>
                <w:szCs w:val="2"/>
              </w:rPr>
            </w:pPr>
          </w:p>
        </w:tc>
        <w:tc>
          <w:tcPr>
            <w:tcW w:w="3262" w:type="dxa"/>
          </w:tcPr>
          <w:p>
            <w:pPr>
              <w:pStyle w:val="TableParagraph"/>
              <w:spacing w:before="46"/>
              <w:jc w:val="left"/>
              <w:rPr>
                <w:sz w:val="22"/>
              </w:rPr>
            </w:pPr>
            <w:r>
              <w:rPr>
                <w:sz w:val="22"/>
              </w:rPr>
              <w:t>外观设计专利</w:t>
            </w:r>
          </w:p>
        </w:tc>
        <w:tc>
          <w:tcPr>
            <w:tcW w:w="1049" w:type="dxa"/>
          </w:tcPr>
          <w:p>
            <w:pPr>
              <w:pStyle w:val="TableParagraph"/>
              <w:spacing w:before="54"/>
              <w:ind w:left="5"/>
              <w:rPr>
                <w:rFonts w:ascii="Calibri"/>
                <w:sz w:val="22"/>
              </w:rPr>
            </w:pPr>
            <w:r>
              <w:rPr>
                <w:rFonts w:ascii="Calibri"/>
                <w:w w:val="100"/>
                <w:sz w:val="22"/>
              </w:rPr>
              <w:t>1</w:t>
            </w:r>
          </w:p>
        </w:tc>
      </w:tr>
      <w:tr>
        <w:trPr>
          <w:trHeight w:val="412" w:hRule="atLeast"/>
        </w:trPr>
        <w:tc>
          <w:tcPr>
            <w:tcW w:w="1985" w:type="dxa"/>
            <w:vMerge/>
            <w:tcBorders>
              <w:top w:val="nil"/>
            </w:tcBorders>
          </w:tcPr>
          <w:p>
            <w:pPr>
              <w:rPr>
                <w:sz w:val="2"/>
                <w:szCs w:val="2"/>
              </w:rPr>
            </w:pPr>
          </w:p>
        </w:tc>
        <w:tc>
          <w:tcPr>
            <w:tcW w:w="2950" w:type="dxa"/>
            <w:vMerge/>
            <w:tcBorders>
              <w:top w:val="nil"/>
            </w:tcBorders>
          </w:tcPr>
          <w:p>
            <w:pPr>
              <w:rPr>
                <w:sz w:val="2"/>
                <w:szCs w:val="2"/>
              </w:rPr>
            </w:pPr>
          </w:p>
        </w:tc>
        <w:tc>
          <w:tcPr>
            <w:tcW w:w="3262" w:type="dxa"/>
          </w:tcPr>
          <w:p>
            <w:pPr>
              <w:pStyle w:val="TableParagraph"/>
              <w:spacing w:before="41"/>
              <w:jc w:val="left"/>
              <w:rPr>
                <w:sz w:val="22"/>
              </w:rPr>
            </w:pPr>
            <w:r>
              <w:rPr>
                <w:w w:val="100"/>
                <w:sz w:val="22"/>
              </w:rPr>
              <w:t>无</w:t>
            </w:r>
          </w:p>
        </w:tc>
        <w:tc>
          <w:tcPr>
            <w:tcW w:w="1049" w:type="dxa"/>
          </w:tcPr>
          <w:p>
            <w:pPr>
              <w:pStyle w:val="TableParagraph"/>
              <w:spacing w:before="49"/>
              <w:ind w:left="5"/>
              <w:rPr>
                <w:rFonts w:ascii="Calibri"/>
                <w:sz w:val="22"/>
              </w:rPr>
            </w:pPr>
            <w:r>
              <w:rPr>
                <w:rFonts w:ascii="Calibri"/>
                <w:w w:val="100"/>
                <w:sz w:val="22"/>
              </w:rPr>
              <w:t>0</w:t>
            </w:r>
          </w:p>
        </w:tc>
      </w:tr>
      <w:tr>
        <w:trPr>
          <w:trHeight w:val="1372" w:hRule="atLeast"/>
        </w:trPr>
        <w:tc>
          <w:tcPr>
            <w:tcW w:w="1985" w:type="dxa"/>
          </w:tcPr>
          <w:p>
            <w:pPr>
              <w:pStyle w:val="TableParagraph"/>
              <w:spacing w:before="192"/>
              <w:ind w:left="89" w:right="78"/>
              <w:rPr>
                <w:b/>
                <w:sz w:val="22"/>
              </w:rPr>
            </w:pPr>
            <w:r>
              <w:rPr>
                <w:b/>
                <w:sz w:val="22"/>
              </w:rPr>
              <w:t>产品市内覆盖情况</w:t>
            </w:r>
          </w:p>
          <w:p>
            <w:pPr>
              <w:pStyle w:val="TableParagraph"/>
              <w:spacing w:before="47"/>
              <w:ind w:left="89" w:right="78"/>
              <w:rPr>
                <w:b/>
                <w:sz w:val="22"/>
              </w:rPr>
            </w:pPr>
            <w:r>
              <w:rPr>
                <w:b/>
                <w:sz w:val="22"/>
              </w:rPr>
              <w:t>（客观）</w:t>
            </w:r>
          </w:p>
          <w:p>
            <w:pPr>
              <w:pStyle w:val="TableParagraph"/>
              <w:spacing w:before="45"/>
              <w:ind w:left="89" w:right="78"/>
              <w:rPr>
                <w:b/>
                <w:sz w:val="22"/>
              </w:rPr>
            </w:pPr>
            <w:r>
              <w:rPr>
                <w:rFonts w:ascii="Calibri" w:eastAsia="Calibri"/>
                <w:b/>
                <w:sz w:val="22"/>
              </w:rPr>
              <w:t>10 </w:t>
            </w:r>
            <w:r>
              <w:rPr>
                <w:b/>
                <w:sz w:val="22"/>
              </w:rPr>
              <w:t>分</w:t>
            </w:r>
          </w:p>
        </w:tc>
        <w:tc>
          <w:tcPr>
            <w:tcW w:w="2950" w:type="dxa"/>
          </w:tcPr>
          <w:p>
            <w:pPr>
              <w:pStyle w:val="TableParagraph"/>
              <w:spacing w:line="278" w:lineRule="auto" w:before="29"/>
              <w:ind w:right="95"/>
              <w:jc w:val="both"/>
              <w:rPr>
                <w:sz w:val="22"/>
              </w:rPr>
            </w:pPr>
            <w:r>
              <w:rPr>
                <w:rFonts w:ascii="Calibri" w:eastAsia="Calibri"/>
                <w:sz w:val="22"/>
              </w:rPr>
              <w:t>2016 </w:t>
            </w:r>
            <w:r>
              <w:rPr>
                <w:spacing w:val="-26"/>
                <w:sz w:val="22"/>
              </w:rPr>
              <w:t>年 </w:t>
            </w:r>
            <w:r>
              <w:rPr>
                <w:rFonts w:ascii="Calibri" w:eastAsia="Calibri"/>
                <w:sz w:val="22"/>
              </w:rPr>
              <w:t>1 </w:t>
            </w:r>
            <w:r>
              <w:rPr>
                <w:spacing w:val="-26"/>
                <w:sz w:val="22"/>
              </w:rPr>
              <w:t>月 </w:t>
            </w:r>
            <w:r>
              <w:rPr>
                <w:rFonts w:ascii="Calibri" w:eastAsia="Calibri"/>
                <w:sz w:val="22"/>
              </w:rPr>
              <w:t>1 </w:t>
            </w:r>
            <w:r>
              <w:rPr>
                <w:spacing w:val="-4"/>
                <w:sz w:val="22"/>
              </w:rPr>
              <w:t>日至本次集中</w:t>
            </w:r>
            <w:r>
              <w:rPr>
                <w:spacing w:val="5"/>
                <w:sz w:val="22"/>
              </w:rPr>
              <w:t>采购公告发布之日止，产品在我市公立医疗卫生机构使</w:t>
            </w:r>
            <w:r>
              <w:rPr>
                <w:sz w:val="22"/>
              </w:rPr>
              <w:t>用情况</w:t>
            </w:r>
          </w:p>
        </w:tc>
        <w:tc>
          <w:tcPr>
            <w:tcW w:w="3262" w:type="dxa"/>
          </w:tcPr>
          <w:p>
            <w:pPr>
              <w:pStyle w:val="TableParagraph"/>
              <w:spacing w:line="278" w:lineRule="auto" w:before="29"/>
              <w:ind w:right="60"/>
              <w:jc w:val="both"/>
              <w:rPr>
                <w:b/>
                <w:sz w:val="22"/>
              </w:rPr>
            </w:pPr>
            <w:r>
              <w:rPr>
                <w:b/>
                <w:sz w:val="22"/>
              </w:rPr>
              <w:t>以医疗卫生机构在系统中上报数据为依据，有记录得 </w:t>
            </w:r>
            <w:r>
              <w:rPr>
                <w:rFonts w:ascii="Calibri" w:eastAsia="Calibri"/>
                <w:b/>
                <w:sz w:val="22"/>
              </w:rPr>
              <w:t>2 </w:t>
            </w:r>
            <w:r>
              <w:rPr>
                <w:b/>
                <w:sz w:val="22"/>
              </w:rPr>
              <w:t>分， 每增加一个医疗卫生机构加</w:t>
            </w:r>
          </w:p>
          <w:p>
            <w:pPr>
              <w:pStyle w:val="TableParagraph"/>
              <w:spacing w:before="3"/>
              <w:jc w:val="both"/>
              <w:rPr>
                <w:b/>
                <w:sz w:val="22"/>
              </w:rPr>
            </w:pPr>
            <w:r>
              <w:rPr>
                <w:rFonts w:ascii="Calibri" w:eastAsia="Calibri"/>
                <w:b/>
                <w:sz w:val="22"/>
              </w:rPr>
              <w:t>0.5 </w:t>
            </w:r>
            <w:r>
              <w:rPr>
                <w:b/>
                <w:sz w:val="22"/>
              </w:rPr>
              <w:t>分，最高分 </w:t>
            </w:r>
            <w:r>
              <w:rPr>
                <w:rFonts w:ascii="Calibri" w:eastAsia="Calibri"/>
                <w:b/>
                <w:sz w:val="22"/>
              </w:rPr>
              <w:t>10 </w:t>
            </w:r>
            <w:r>
              <w:rPr>
                <w:b/>
                <w:sz w:val="22"/>
              </w:rPr>
              <w:t>分。</w:t>
            </w:r>
          </w:p>
        </w:tc>
        <w:tc>
          <w:tcPr>
            <w:tcW w:w="1049" w:type="dxa"/>
          </w:tcPr>
          <w:p>
            <w:pPr>
              <w:pStyle w:val="TableParagraph"/>
              <w:ind w:left="0"/>
              <w:jc w:val="left"/>
              <w:rPr>
                <w:sz w:val="22"/>
              </w:rPr>
            </w:pPr>
          </w:p>
          <w:p>
            <w:pPr>
              <w:pStyle w:val="TableParagraph"/>
              <w:spacing w:before="4"/>
              <w:ind w:left="0"/>
              <w:jc w:val="left"/>
              <w:rPr>
                <w:sz w:val="19"/>
              </w:rPr>
            </w:pPr>
          </w:p>
          <w:p>
            <w:pPr>
              <w:pStyle w:val="TableParagraph"/>
              <w:ind w:left="281" w:right="275"/>
              <w:rPr>
                <w:rFonts w:ascii="Calibri"/>
                <w:b/>
                <w:sz w:val="22"/>
              </w:rPr>
            </w:pPr>
            <w:r>
              <w:rPr>
                <w:rFonts w:ascii="Calibri"/>
                <w:b/>
                <w:sz w:val="22"/>
              </w:rPr>
              <w:t>0-10</w:t>
            </w:r>
          </w:p>
        </w:tc>
      </w:tr>
      <w:tr>
        <w:trPr>
          <w:trHeight w:val="1313" w:hRule="atLeast"/>
        </w:trPr>
        <w:tc>
          <w:tcPr>
            <w:tcW w:w="1985" w:type="dxa"/>
          </w:tcPr>
          <w:p>
            <w:pPr>
              <w:pStyle w:val="TableParagraph"/>
              <w:spacing w:before="161"/>
              <w:ind w:left="89" w:right="78"/>
              <w:rPr>
                <w:b/>
                <w:sz w:val="22"/>
              </w:rPr>
            </w:pPr>
            <w:r>
              <w:rPr>
                <w:b/>
                <w:sz w:val="22"/>
              </w:rPr>
              <w:t>各省、市中标情况</w:t>
            </w:r>
          </w:p>
          <w:p>
            <w:pPr>
              <w:pStyle w:val="TableParagraph"/>
              <w:spacing w:before="48"/>
              <w:ind w:left="89" w:right="78"/>
              <w:rPr>
                <w:b/>
                <w:sz w:val="22"/>
              </w:rPr>
            </w:pPr>
            <w:r>
              <w:rPr>
                <w:b/>
                <w:sz w:val="22"/>
              </w:rPr>
              <w:t>（客观）</w:t>
            </w:r>
          </w:p>
          <w:p>
            <w:pPr>
              <w:pStyle w:val="TableParagraph"/>
              <w:spacing w:before="47"/>
              <w:ind w:left="89" w:right="78"/>
              <w:rPr>
                <w:b/>
                <w:sz w:val="22"/>
              </w:rPr>
            </w:pPr>
            <w:r>
              <w:rPr>
                <w:rFonts w:ascii="Calibri" w:eastAsia="Calibri"/>
                <w:b/>
                <w:sz w:val="22"/>
              </w:rPr>
              <w:t>10 </w:t>
            </w:r>
            <w:r>
              <w:rPr>
                <w:b/>
                <w:sz w:val="22"/>
              </w:rPr>
              <w:t>分</w:t>
            </w:r>
          </w:p>
        </w:tc>
        <w:tc>
          <w:tcPr>
            <w:tcW w:w="2950" w:type="dxa"/>
          </w:tcPr>
          <w:p>
            <w:pPr>
              <w:pStyle w:val="TableParagraph"/>
              <w:ind w:left="0"/>
              <w:jc w:val="left"/>
              <w:rPr>
                <w:sz w:val="24"/>
              </w:rPr>
            </w:pPr>
          </w:p>
          <w:p>
            <w:pPr>
              <w:pStyle w:val="TableParagraph"/>
              <w:spacing w:before="183"/>
              <w:jc w:val="left"/>
              <w:rPr>
                <w:sz w:val="22"/>
              </w:rPr>
            </w:pPr>
            <w:r>
              <w:rPr>
                <w:rFonts w:ascii="Calibri" w:eastAsia="Calibri"/>
                <w:sz w:val="22"/>
              </w:rPr>
              <w:t>2015 </w:t>
            </w:r>
            <w:r>
              <w:rPr>
                <w:sz w:val="22"/>
              </w:rPr>
              <w:t>年以来产品中标情况</w:t>
            </w:r>
          </w:p>
        </w:tc>
        <w:tc>
          <w:tcPr>
            <w:tcW w:w="3262" w:type="dxa"/>
          </w:tcPr>
          <w:p>
            <w:pPr>
              <w:pStyle w:val="TableParagraph"/>
              <w:spacing w:line="280" w:lineRule="auto"/>
              <w:ind w:right="84"/>
              <w:jc w:val="left"/>
              <w:rPr>
                <w:rFonts w:ascii="Calibri" w:eastAsia="Calibri"/>
                <w:b/>
                <w:sz w:val="22"/>
              </w:rPr>
            </w:pPr>
            <w:r>
              <w:rPr>
                <w:b/>
                <w:sz w:val="22"/>
              </w:rPr>
              <w:t>根据江苏各省辖市、其它省、省辖市中标记录，有记录得 </w:t>
            </w:r>
            <w:r>
              <w:rPr>
                <w:rFonts w:ascii="Calibri" w:eastAsia="Calibri"/>
                <w:b/>
                <w:sz w:val="22"/>
              </w:rPr>
              <w:t>2</w:t>
            </w:r>
          </w:p>
          <w:p>
            <w:pPr>
              <w:pStyle w:val="TableParagraph"/>
              <w:spacing w:line="278" w:lineRule="exact"/>
              <w:jc w:val="left"/>
              <w:rPr>
                <w:b/>
                <w:sz w:val="22"/>
              </w:rPr>
            </w:pPr>
            <w:r>
              <w:rPr>
                <w:b/>
                <w:sz w:val="22"/>
              </w:rPr>
              <w:t>分，每增加一个加 </w:t>
            </w:r>
            <w:r>
              <w:rPr>
                <w:rFonts w:ascii="Calibri" w:eastAsia="Calibri"/>
                <w:b/>
                <w:sz w:val="22"/>
              </w:rPr>
              <w:t>0.5 </w:t>
            </w:r>
            <w:r>
              <w:rPr>
                <w:b/>
                <w:sz w:val="22"/>
              </w:rPr>
              <w:t>分，最</w:t>
            </w:r>
          </w:p>
          <w:p>
            <w:pPr>
              <w:pStyle w:val="TableParagraph"/>
              <w:spacing w:before="45"/>
              <w:jc w:val="left"/>
              <w:rPr>
                <w:b/>
                <w:sz w:val="22"/>
              </w:rPr>
            </w:pPr>
            <w:r>
              <w:rPr>
                <w:b/>
                <w:sz w:val="22"/>
              </w:rPr>
              <w:t>高分 </w:t>
            </w:r>
            <w:r>
              <w:rPr>
                <w:rFonts w:ascii="Calibri" w:eastAsia="Calibri"/>
                <w:b/>
                <w:sz w:val="22"/>
              </w:rPr>
              <w:t>10 </w:t>
            </w:r>
            <w:r>
              <w:rPr>
                <w:b/>
                <w:sz w:val="22"/>
              </w:rPr>
              <w:t>分。</w:t>
            </w:r>
          </w:p>
        </w:tc>
        <w:tc>
          <w:tcPr>
            <w:tcW w:w="1049" w:type="dxa"/>
          </w:tcPr>
          <w:p>
            <w:pPr>
              <w:pStyle w:val="TableParagraph"/>
              <w:ind w:left="0"/>
              <w:jc w:val="left"/>
              <w:rPr>
                <w:sz w:val="22"/>
              </w:rPr>
            </w:pPr>
          </w:p>
          <w:p>
            <w:pPr>
              <w:pStyle w:val="TableParagraph"/>
              <w:spacing w:before="12"/>
              <w:ind w:left="0"/>
              <w:jc w:val="left"/>
              <w:rPr>
                <w:sz w:val="16"/>
              </w:rPr>
            </w:pPr>
          </w:p>
          <w:p>
            <w:pPr>
              <w:pStyle w:val="TableParagraph"/>
              <w:ind w:left="281" w:right="275"/>
              <w:rPr>
                <w:rFonts w:ascii="Calibri"/>
                <w:b/>
                <w:sz w:val="22"/>
              </w:rPr>
            </w:pPr>
            <w:r>
              <w:rPr>
                <w:rFonts w:ascii="Calibri"/>
                <w:b/>
                <w:sz w:val="22"/>
              </w:rPr>
              <w:t>0-10</w:t>
            </w:r>
          </w:p>
        </w:tc>
      </w:tr>
      <w:tr>
        <w:trPr>
          <w:trHeight w:val="462" w:hRule="atLeast"/>
        </w:trPr>
        <w:tc>
          <w:tcPr>
            <w:tcW w:w="1985" w:type="dxa"/>
            <w:vMerge w:val="restart"/>
          </w:tcPr>
          <w:p>
            <w:pPr>
              <w:pStyle w:val="TableParagraph"/>
              <w:spacing w:before="163"/>
              <w:ind w:left="89" w:right="78"/>
              <w:rPr>
                <w:b/>
                <w:sz w:val="22"/>
              </w:rPr>
            </w:pPr>
            <w:r>
              <w:rPr>
                <w:b/>
                <w:sz w:val="22"/>
              </w:rPr>
              <w:t>临床效果评价</w:t>
            </w:r>
          </w:p>
          <w:p>
            <w:pPr>
              <w:pStyle w:val="TableParagraph"/>
              <w:spacing w:before="45"/>
              <w:ind w:left="89" w:right="78"/>
              <w:rPr>
                <w:b/>
                <w:sz w:val="22"/>
              </w:rPr>
            </w:pPr>
            <w:r>
              <w:rPr>
                <w:b/>
                <w:sz w:val="22"/>
              </w:rPr>
              <w:t>（主观）</w:t>
            </w:r>
          </w:p>
          <w:p>
            <w:pPr>
              <w:pStyle w:val="TableParagraph"/>
              <w:spacing w:before="47"/>
              <w:ind w:left="87" w:right="78"/>
              <w:rPr>
                <w:b/>
                <w:sz w:val="22"/>
              </w:rPr>
            </w:pPr>
            <w:r>
              <w:rPr>
                <w:rFonts w:ascii="Calibri" w:eastAsia="Calibri"/>
                <w:b/>
                <w:sz w:val="22"/>
              </w:rPr>
              <w:t>3 </w:t>
            </w:r>
            <w:r>
              <w:rPr>
                <w:b/>
                <w:sz w:val="22"/>
              </w:rPr>
              <w:t>分</w:t>
            </w:r>
          </w:p>
        </w:tc>
        <w:tc>
          <w:tcPr>
            <w:tcW w:w="2950" w:type="dxa"/>
            <w:vMerge w:val="restart"/>
          </w:tcPr>
          <w:p>
            <w:pPr>
              <w:pStyle w:val="TableParagraph"/>
              <w:spacing w:before="6"/>
              <w:ind w:left="0"/>
              <w:jc w:val="left"/>
              <w:rPr>
                <w:sz w:val="25"/>
              </w:rPr>
            </w:pPr>
          </w:p>
          <w:p>
            <w:pPr>
              <w:pStyle w:val="TableParagraph"/>
              <w:spacing w:line="280" w:lineRule="auto"/>
              <w:ind w:right="95"/>
              <w:jc w:val="left"/>
              <w:rPr>
                <w:sz w:val="22"/>
              </w:rPr>
            </w:pPr>
            <w:r>
              <w:rPr>
                <w:sz w:val="22"/>
              </w:rPr>
              <w:t>与其它同类产品的临床效果相比较</w:t>
            </w:r>
          </w:p>
        </w:tc>
        <w:tc>
          <w:tcPr>
            <w:tcW w:w="3262" w:type="dxa"/>
          </w:tcPr>
          <w:p>
            <w:pPr>
              <w:pStyle w:val="TableParagraph"/>
              <w:spacing w:before="65"/>
              <w:jc w:val="left"/>
              <w:rPr>
                <w:b/>
                <w:sz w:val="22"/>
              </w:rPr>
            </w:pPr>
            <w:r>
              <w:rPr>
                <w:b/>
                <w:sz w:val="22"/>
              </w:rPr>
              <w:t>明显优于其它同类产品</w:t>
            </w:r>
          </w:p>
        </w:tc>
        <w:tc>
          <w:tcPr>
            <w:tcW w:w="1049" w:type="dxa"/>
          </w:tcPr>
          <w:p>
            <w:pPr>
              <w:pStyle w:val="TableParagraph"/>
              <w:spacing w:before="73"/>
              <w:ind w:left="5"/>
              <w:rPr>
                <w:rFonts w:ascii="Calibri"/>
                <w:b/>
                <w:sz w:val="22"/>
              </w:rPr>
            </w:pPr>
            <w:r>
              <w:rPr>
                <w:rFonts w:ascii="Calibri"/>
                <w:b/>
                <w:w w:val="100"/>
                <w:sz w:val="22"/>
              </w:rPr>
              <w:t>3</w:t>
            </w:r>
          </w:p>
        </w:tc>
      </w:tr>
      <w:tr>
        <w:trPr>
          <w:trHeight w:val="412" w:hRule="atLeast"/>
        </w:trPr>
        <w:tc>
          <w:tcPr>
            <w:tcW w:w="1985" w:type="dxa"/>
            <w:vMerge/>
            <w:tcBorders>
              <w:top w:val="nil"/>
            </w:tcBorders>
          </w:tcPr>
          <w:p>
            <w:pPr>
              <w:rPr>
                <w:sz w:val="2"/>
                <w:szCs w:val="2"/>
              </w:rPr>
            </w:pPr>
          </w:p>
        </w:tc>
        <w:tc>
          <w:tcPr>
            <w:tcW w:w="2950" w:type="dxa"/>
            <w:vMerge/>
            <w:tcBorders>
              <w:top w:val="nil"/>
            </w:tcBorders>
          </w:tcPr>
          <w:p>
            <w:pPr>
              <w:rPr>
                <w:sz w:val="2"/>
                <w:szCs w:val="2"/>
              </w:rPr>
            </w:pPr>
          </w:p>
        </w:tc>
        <w:tc>
          <w:tcPr>
            <w:tcW w:w="3262" w:type="dxa"/>
          </w:tcPr>
          <w:p>
            <w:pPr>
              <w:pStyle w:val="TableParagraph"/>
              <w:spacing w:before="41"/>
              <w:jc w:val="left"/>
              <w:rPr>
                <w:sz w:val="22"/>
              </w:rPr>
            </w:pPr>
            <w:r>
              <w:rPr>
                <w:sz w:val="22"/>
              </w:rPr>
              <w:t>与其它同类产品相当</w:t>
            </w:r>
          </w:p>
        </w:tc>
        <w:tc>
          <w:tcPr>
            <w:tcW w:w="1049" w:type="dxa"/>
          </w:tcPr>
          <w:p>
            <w:pPr>
              <w:pStyle w:val="TableParagraph"/>
              <w:spacing w:before="49"/>
              <w:ind w:left="5"/>
              <w:rPr>
                <w:rFonts w:ascii="Calibri"/>
                <w:sz w:val="22"/>
              </w:rPr>
            </w:pPr>
            <w:r>
              <w:rPr>
                <w:rFonts w:ascii="Calibri"/>
                <w:w w:val="100"/>
                <w:sz w:val="22"/>
              </w:rPr>
              <w:t>2</w:t>
            </w:r>
          </w:p>
        </w:tc>
      </w:tr>
      <w:tr>
        <w:trPr>
          <w:trHeight w:val="419" w:hRule="atLeast"/>
        </w:trPr>
        <w:tc>
          <w:tcPr>
            <w:tcW w:w="1985" w:type="dxa"/>
            <w:vMerge/>
            <w:tcBorders>
              <w:top w:val="nil"/>
            </w:tcBorders>
          </w:tcPr>
          <w:p>
            <w:pPr>
              <w:rPr>
                <w:sz w:val="2"/>
                <w:szCs w:val="2"/>
              </w:rPr>
            </w:pPr>
          </w:p>
        </w:tc>
        <w:tc>
          <w:tcPr>
            <w:tcW w:w="2950" w:type="dxa"/>
            <w:vMerge/>
            <w:tcBorders>
              <w:top w:val="nil"/>
            </w:tcBorders>
          </w:tcPr>
          <w:p>
            <w:pPr>
              <w:rPr>
                <w:sz w:val="2"/>
                <w:szCs w:val="2"/>
              </w:rPr>
            </w:pPr>
          </w:p>
        </w:tc>
        <w:tc>
          <w:tcPr>
            <w:tcW w:w="3262" w:type="dxa"/>
          </w:tcPr>
          <w:p>
            <w:pPr>
              <w:pStyle w:val="TableParagraph"/>
              <w:spacing w:before="43"/>
              <w:jc w:val="left"/>
              <w:rPr>
                <w:sz w:val="22"/>
              </w:rPr>
            </w:pPr>
            <w:r>
              <w:rPr>
                <w:sz w:val="22"/>
              </w:rPr>
              <w:t>低于其它同类产品</w:t>
            </w:r>
          </w:p>
        </w:tc>
        <w:tc>
          <w:tcPr>
            <w:tcW w:w="1049" w:type="dxa"/>
          </w:tcPr>
          <w:p>
            <w:pPr>
              <w:pStyle w:val="TableParagraph"/>
              <w:spacing w:before="52"/>
              <w:ind w:left="5"/>
              <w:rPr>
                <w:rFonts w:ascii="Calibri"/>
                <w:sz w:val="22"/>
              </w:rPr>
            </w:pPr>
            <w:r>
              <w:rPr>
                <w:rFonts w:ascii="Calibri"/>
                <w:w w:val="100"/>
                <w:sz w:val="22"/>
              </w:rPr>
              <w:t>1</w:t>
            </w:r>
          </w:p>
        </w:tc>
      </w:tr>
      <w:tr>
        <w:trPr>
          <w:trHeight w:val="410" w:hRule="atLeast"/>
        </w:trPr>
        <w:tc>
          <w:tcPr>
            <w:tcW w:w="1985" w:type="dxa"/>
            <w:vMerge w:val="restart"/>
          </w:tcPr>
          <w:p>
            <w:pPr>
              <w:pStyle w:val="TableParagraph"/>
              <w:spacing w:before="89"/>
              <w:ind w:left="89" w:right="78"/>
              <w:rPr>
                <w:b/>
                <w:sz w:val="22"/>
              </w:rPr>
            </w:pPr>
            <w:r>
              <w:rPr>
                <w:b/>
                <w:sz w:val="22"/>
              </w:rPr>
              <w:t>临床安全性评价</w:t>
            </w:r>
          </w:p>
          <w:p>
            <w:pPr>
              <w:pStyle w:val="TableParagraph"/>
              <w:spacing w:before="47"/>
              <w:ind w:left="89" w:right="78"/>
              <w:rPr>
                <w:b/>
                <w:sz w:val="22"/>
              </w:rPr>
            </w:pPr>
            <w:r>
              <w:rPr>
                <w:b/>
                <w:sz w:val="22"/>
              </w:rPr>
              <w:t>（主观）</w:t>
            </w:r>
          </w:p>
        </w:tc>
        <w:tc>
          <w:tcPr>
            <w:tcW w:w="2950" w:type="dxa"/>
            <w:vMerge w:val="restart"/>
          </w:tcPr>
          <w:p>
            <w:pPr>
              <w:pStyle w:val="TableParagraph"/>
              <w:spacing w:line="280" w:lineRule="auto" w:before="89"/>
              <w:ind w:right="95"/>
              <w:jc w:val="left"/>
              <w:rPr>
                <w:sz w:val="22"/>
              </w:rPr>
            </w:pPr>
            <w:r>
              <w:rPr>
                <w:sz w:val="22"/>
              </w:rPr>
              <w:t>与其它同类产品的临床安全性相比较</w:t>
            </w:r>
          </w:p>
        </w:tc>
        <w:tc>
          <w:tcPr>
            <w:tcW w:w="3262" w:type="dxa"/>
          </w:tcPr>
          <w:p>
            <w:pPr>
              <w:pStyle w:val="TableParagraph"/>
              <w:spacing w:before="39"/>
              <w:jc w:val="left"/>
              <w:rPr>
                <w:b/>
                <w:sz w:val="22"/>
              </w:rPr>
            </w:pPr>
            <w:r>
              <w:rPr>
                <w:b/>
                <w:sz w:val="22"/>
              </w:rPr>
              <w:t>临床安全性优</w:t>
            </w:r>
          </w:p>
        </w:tc>
        <w:tc>
          <w:tcPr>
            <w:tcW w:w="1049" w:type="dxa"/>
          </w:tcPr>
          <w:p>
            <w:pPr>
              <w:pStyle w:val="TableParagraph"/>
              <w:spacing w:before="47"/>
              <w:ind w:left="5"/>
              <w:rPr>
                <w:rFonts w:ascii="Calibri"/>
                <w:b/>
                <w:sz w:val="22"/>
              </w:rPr>
            </w:pPr>
            <w:r>
              <w:rPr>
                <w:rFonts w:ascii="Calibri"/>
                <w:b/>
                <w:w w:val="100"/>
                <w:sz w:val="22"/>
              </w:rPr>
              <w:t>3</w:t>
            </w:r>
          </w:p>
        </w:tc>
      </w:tr>
      <w:tr>
        <w:trPr>
          <w:trHeight w:val="417" w:hRule="atLeast"/>
        </w:trPr>
        <w:tc>
          <w:tcPr>
            <w:tcW w:w="1985" w:type="dxa"/>
            <w:vMerge/>
            <w:tcBorders>
              <w:top w:val="nil"/>
            </w:tcBorders>
          </w:tcPr>
          <w:p>
            <w:pPr>
              <w:rPr>
                <w:sz w:val="2"/>
                <w:szCs w:val="2"/>
              </w:rPr>
            </w:pPr>
          </w:p>
        </w:tc>
        <w:tc>
          <w:tcPr>
            <w:tcW w:w="2950" w:type="dxa"/>
            <w:vMerge/>
            <w:tcBorders>
              <w:top w:val="nil"/>
            </w:tcBorders>
          </w:tcPr>
          <w:p>
            <w:pPr>
              <w:rPr>
                <w:sz w:val="2"/>
                <w:szCs w:val="2"/>
              </w:rPr>
            </w:pPr>
          </w:p>
        </w:tc>
        <w:tc>
          <w:tcPr>
            <w:tcW w:w="3262" w:type="dxa"/>
          </w:tcPr>
          <w:p>
            <w:pPr>
              <w:pStyle w:val="TableParagraph"/>
              <w:spacing w:before="43"/>
              <w:jc w:val="left"/>
              <w:rPr>
                <w:sz w:val="22"/>
              </w:rPr>
            </w:pPr>
            <w:r>
              <w:rPr>
                <w:sz w:val="22"/>
              </w:rPr>
              <w:t>临床安全性良</w:t>
            </w:r>
          </w:p>
        </w:tc>
        <w:tc>
          <w:tcPr>
            <w:tcW w:w="1049" w:type="dxa"/>
          </w:tcPr>
          <w:p>
            <w:pPr>
              <w:pStyle w:val="TableParagraph"/>
              <w:spacing w:before="52"/>
              <w:ind w:left="5"/>
              <w:rPr>
                <w:rFonts w:ascii="Calibri"/>
                <w:sz w:val="22"/>
              </w:rPr>
            </w:pPr>
            <w:r>
              <w:rPr>
                <w:rFonts w:ascii="Calibri"/>
                <w:w w:val="100"/>
                <w:sz w:val="22"/>
              </w:rPr>
              <w:t>2</w:t>
            </w:r>
          </w:p>
        </w:tc>
      </w:tr>
    </w:tbl>
    <w:p>
      <w:pPr>
        <w:spacing w:after="0"/>
        <w:rPr>
          <w:rFonts w:ascii="Calibri"/>
          <w:sz w:val="22"/>
        </w:rPr>
        <w:sectPr>
          <w:pgSz w:w="11910" w:h="16840"/>
          <w:pgMar w:header="0" w:footer="1302" w:top="1580" w:bottom="1500" w:left="1220" w:right="1160"/>
        </w:sectPr>
      </w:pPr>
    </w:p>
    <w:tbl>
      <w:tblPr>
        <w:tblW w:w="0" w:type="auto"/>
        <w:jc w:val="left"/>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85"/>
        <w:gridCol w:w="2950"/>
        <w:gridCol w:w="3262"/>
        <w:gridCol w:w="1049"/>
      </w:tblGrid>
      <w:tr>
        <w:trPr>
          <w:trHeight w:val="494" w:hRule="atLeast"/>
        </w:trPr>
        <w:tc>
          <w:tcPr>
            <w:tcW w:w="1985" w:type="dxa"/>
          </w:tcPr>
          <w:p>
            <w:pPr>
              <w:pStyle w:val="TableParagraph"/>
              <w:spacing w:before="82"/>
              <w:ind w:left="89" w:right="78"/>
              <w:rPr>
                <w:rFonts w:ascii="黑体" w:eastAsia="黑体" w:hint="eastAsia"/>
                <w:sz w:val="22"/>
              </w:rPr>
            </w:pPr>
            <w:r>
              <w:rPr>
                <w:rFonts w:ascii="黑体" w:eastAsia="黑体" w:hint="eastAsia"/>
                <w:sz w:val="22"/>
              </w:rPr>
              <w:t>评价指标</w:t>
            </w:r>
          </w:p>
        </w:tc>
        <w:tc>
          <w:tcPr>
            <w:tcW w:w="2950" w:type="dxa"/>
          </w:tcPr>
          <w:p>
            <w:pPr>
              <w:pStyle w:val="TableParagraph"/>
              <w:spacing w:before="82"/>
              <w:ind w:left="1236" w:right="1224"/>
              <w:rPr>
                <w:rFonts w:ascii="黑体" w:eastAsia="黑体" w:hint="eastAsia"/>
                <w:sz w:val="22"/>
              </w:rPr>
            </w:pPr>
            <w:r>
              <w:rPr>
                <w:rFonts w:ascii="黑体" w:eastAsia="黑体" w:hint="eastAsia"/>
                <w:sz w:val="22"/>
              </w:rPr>
              <w:t>描述</w:t>
            </w:r>
          </w:p>
        </w:tc>
        <w:tc>
          <w:tcPr>
            <w:tcW w:w="3262" w:type="dxa"/>
          </w:tcPr>
          <w:p>
            <w:pPr>
              <w:pStyle w:val="TableParagraph"/>
              <w:spacing w:before="82"/>
              <w:ind w:left="1389" w:right="1382"/>
              <w:rPr>
                <w:rFonts w:ascii="黑体" w:eastAsia="黑体" w:hint="eastAsia"/>
                <w:sz w:val="22"/>
              </w:rPr>
            </w:pPr>
            <w:r>
              <w:rPr>
                <w:rFonts w:ascii="黑体" w:eastAsia="黑体" w:hint="eastAsia"/>
                <w:sz w:val="22"/>
              </w:rPr>
              <w:t>指标</w:t>
            </w:r>
          </w:p>
        </w:tc>
        <w:tc>
          <w:tcPr>
            <w:tcW w:w="1049" w:type="dxa"/>
          </w:tcPr>
          <w:p>
            <w:pPr>
              <w:pStyle w:val="TableParagraph"/>
              <w:spacing w:before="82"/>
              <w:ind w:left="283" w:right="275"/>
              <w:rPr>
                <w:rFonts w:ascii="黑体" w:eastAsia="黑体" w:hint="eastAsia"/>
                <w:sz w:val="22"/>
              </w:rPr>
            </w:pPr>
            <w:r>
              <w:rPr>
                <w:rFonts w:ascii="黑体" w:eastAsia="黑体" w:hint="eastAsia"/>
                <w:sz w:val="22"/>
              </w:rPr>
              <w:t>分值</w:t>
            </w:r>
          </w:p>
        </w:tc>
      </w:tr>
      <w:tr>
        <w:trPr>
          <w:trHeight w:val="424" w:hRule="atLeast"/>
        </w:trPr>
        <w:tc>
          <w:tcPr>
            <w:tcW w:w="1985" w:type="dxa"/>
          </w:tcPr>
          <w:p>
            <w:pPr>
              <w:pStyle w:val="TableParagraph"/>
              <w:spacing w:line="280" w:lineRule="exact"/>
              <w:ind w:left="87" w:right="78"/>
              <w:rPr>
                <w:b/>
                <w:sz w:val="22"/>
              </w:rPr>
            </w:pPr>
            <w:r>
              <w:rPr>
                <w:rFonts w:ascii="Calibri" w:eastAsia="Calibri"/>
                <w:b/>
                <w:sz w:val="22"/>
              </w:rPr>
              <w:t>3 </w:t>
            </w:r>
            <w:r>
              <w:rPr>
                <w:b/>
                <w:sz w:val="22"/>
              </w:rPr>
              <w:t>分</w:t>
            </w:r>
          </w:p>
        </w:tc>
        <w:tc>
          <w:tcPr>
            <w:tcW w:w="2950" w:type="dxa"/>
          </w:tcPr>
          <w:p>
            <w:pPr>
              <w:pStyle w:val="TableParagraph"/>
              <w:ind w:left="0"/>
              <w:jc w:val="left"/>
              <w:rPr>
                <w:rFonts w:ascii="Times New Roman"/>
                <w:sz w:val="26"/>
              </w:rPr>
            </w:pPr>
          </w:p>
        </w:tc>
        <w:tc>
          <w:tcPr>
            <w:tcW w:w="3262" w:type="dxa"/>
          </w:tcPr>
          <w:p>
            <w:pPr>
              <w:pStyle w:val="TableParagraph"/>
              <w:spacing w:before="46"/>
              <w:jc w:val="left"/>
              <w:rPr>
                <w:sz w:val="22"/>
              </w:rPr>
            </w:pPr>
            <w:r>
              <w:rPr>
                <w:sz w:val="22"/>
              </w:rPr>
              <w:t>临床安全性一般</w:t>
            </w:r>
          </w:p>
        </w:tc>
        <w:tc>
          <w:tcPr>
            <w:tcW w:w="1049" w:type="dxa"/>
          </w:tcPr>
          <w:p>
            <w:pPr>
              <w:pStyle w:val="TableParagraph"/>
              <w:spacing w:before="54"/>
              <w:ind w:left="5"/>
              <w:rPr>
                <w:rFonts w:ascii="Calibri"/>
                <w:sz w:val="22"/>
              </w:rPr>
            </w:pPr>
            <w:r>
              <w:rPr>
                <w:rFonts w:ascii="Calibri"/>
                <w:w w:val="100"/>
                <w:sz w:val="22"/>
              </w:rPr>
              <w:t>1</w:t>
            </w:r>
          </w:p>
        </w:tc>
      </w:tr>
      <w:tr>
        <w:trPr>
          <w:trHeight w:val="400" w:hRule="atLeast"/>
        </w:trPr>
        <w:tc>
          <w:tcPr>
            <w:tcW w:w="1985" w:type="dxa"/>
            <w:vMerge w:val="restart"/>
          </w:tcPr>
          <w:p>
            <w:pPr>
              <w:pStyle w:val="TableParagraph"/>
              <w:spacing w:line="280" w:lineRule="auto"/>
              <w:ind w:left="110" w:right="96"/>
              <w:rPr>
                <w:b/>
                <w:sz w:val="22"/>
              </w:rPr>
            </w:pPr>
            <w:r>
              <w:rPr>
                <w:b/>
                <w:sz w:val="22"/>
              </w:rPr>
              <w:t>产品临床适用性和方便性评价</w:t>
            </w:r>
          </w:p>
          <w:p>
            <w:pPr>
              <w:pStyle w:val="TableParagraph"/>
              <w:spacing w:line="277" w:lineRule="exact"/>
              <w:ind w:left="89" w:right="78"/>
              <w:rPr>
                <w:b/>
                <w:sz w:val="22"/>
              </w:rPr>
            </w:pPr>
            <w:r>
              <w:rPr>
                <w:b/>
                <w:sz w:val="22"/>
              </w:rPr>
              <w:t>（主观）</w:t>
            </w:r>
          </w:p>
          <w:p>
            <w:pPr>
              <w:pStyle w:val="TableParagraph"/>
              <w:spacing w:before="45"/>
              <w:ind w:left="87" w:right="78"/>
              <w:rPr>
                <w:b/>
                <w:sz w:val="22"/>
              </w:rPr>
            </w:pPr>
            <w:r>
              <w:rPr>
                <w:rFonts w:ascii="Calibri" w:eastAsia="Calibri"/>
                <w:b/>
                <w:sz w:val="22"/>
              </w:rPr>
              <w:t>3 </w:t>
            </w:r>
            <w:r>
              <w:rPr>
                <w:b/>
                <w:sz w:val="22"/>
              </w:rPr>
              <w:t>分</w:t>
            </w:r>
          </w:p>
        </w:tc>
        <w:tc>
          <w:tcPr>
            <w:tcW w:w="2950" w:type="dxa"/>
            <w:vMerge w:val="restart"/>
          </w:tcPr>
          <w:p>
            <w:pPr>
              <w:pStyle w:val="TableParagraph"/>
              <w:spacing w:before="6"/>
              <w:ind w:left="0"/>
              <w:jc w:val="left"/>
              <w:rPr>
                <w:sz w:val="25"/>
              </w:rPr>
            </w:pPr>
          </w:p>
          <w:p>
            <w:pPr>
              <w:pStyle w:val="TableParagraph"/>
              <w:spacing w:line="278" w:lineRule="auto"/>
              <w:ind w:right="99"/>
              <w:jc w:val="left"/>
              <w:rPr>
                <w:sz w:val="22"/>
              </w:rPr>
            </w:pPr>
            <w:r>
              <w:rPr>
                <w:sz w:val="22"/>
              </w:rPr>
              <w:t>与其它同类产品的包装质量、方便性相比较</w:t>
            </w:r>
          </w:p>
        </w:tc>
        <w:tc>
          <w:tcPr>
            <w:tcW w:w="3262" w:type="dxa"/>
          </w:tcPr>
          <w:p>
            <w:pPr>
              <w:pStyle w:val="TableParagraph"/>
              <w:spacing w:before="34"/>
              <w:jc w:val="left"/>
              <w:rPr>
                <w:b/>
                <w:sz w:val="22"/>
              </w:rPr>
            </w:pPr>
            <w:r>
              <w:rPr>
                <w:b/>
                <w:sz w:val="22"/>
              </w:rPr>
              <w:t>包装质量与方便性优</w:t>
            </w:r>
          </w:p>
        </w:tc>
        <w:tc>
          <w:tcPr>
            <w:tcW w:w="1049" w:type="dxa"/>
          </w:tcPr>
          <w:p>
            <w:pPr>
              <w:pStyle w:val="TableParagraph"/>
              <w:spacing w:before="42"/>
              <w:ind w:left="5"/>
              <w:rPr>
                <w:rFonts w:ascii="Calibri"/>
                <w:b/>
                <w:sz w:val="22"/>
              </w:rPr>
            </w:pPr>
            <w:r>
              <w:rPr>
                <w:rFonts w:ascii="Calibri"/>
                <w:b/>
                <w:w w:val="100"/>
                <w:sz w:val="22"/>
              </w:rPr>
              <w:t>3</w:t>
            </w:r>
          </w:p>
        </w:tc>
      </w:tr>
      <w:tr>
        <w:trPr>
          <w:trHeight w:val="419" w:hRule="atLeast"/>
        </w:trPr>
        <w:tc>
          <w:tcPr>
            <w:tcW w:w="1985" w:type="dxa"/>
            <w:vMerge/>
            <w:tcBorders>
              <w:top w:val="nil"/>
            </w:tcBorders>
          </w:tcPr>
          <w:p>
            <w:pPr>
              <w:rPr>
                <w:sz w:val="2"/>
                <w:szCs w:val="2"/>
              </w:rPr>
            </w:pPr>
          </w:p>
        </w:tc>
        <w:tc>
          <w:tcPr>
            <w:tcW w:w="2950" w:type="dxa"/>
            <w:vMerge/>
            <w:tcBorders>
              <w:top w:val="nil"/>
            </w:tcBorders>
          </w:tcPr>
          <w:p>
            <w:pPr>
              <w:rPr>
                <w:sz w:val="2"/>
                <w:szCs w:val="2"/>
              </w:rPr>
            </w:pPr>
          </w:p>
        </w:tc>
        <w:tc>
          <w:tcPr>
            <w:tcW w:w="3262" w:type="dxa"/>
          </w:tcPr>
          <w:p>
            <w:pPr>
              <w:pStyle w:val="TableParagraph"/>
              <w:spacing w:before="44"/>
              <w:jc w:val="left"/>
              <w:rPr>
                <w:sz w:val="22"/>
              </w:rPr>
            </w:pPr>
            <w:r>
              <w:rPr>
                <w:sz w:val="22"/>
              </w:rPr>
              <w:t>包装质量与方便性良</w:t>
            </w:r>
          </w:p>
        </w:tc>
        <w:tc>
          <w:tcPr>
            <w:tcW w:w="1049" w:type="dxa"/>
          </w:tcPr>
          <w:p>
            <w:pPr>
              <w:pStyle w:val="TableParagraph"/>
              <w:spacing w:before="52"/>
              <w:ind w:left="5"/>
              <w:rPr>
                <w:rFonts w:ascii="Calibri"/>
                <w:sz w:val="22"/>
              </w:rPr>
            </w:pPr>
            <w:r>
              <w:rPr>
                <w:rFonts w:ascii="Calibri"/>
                <w:w w:val="100"/>
                <w:sz w:val="22"/>
              </w:rPr>
              <w:t>2</w:t>
            </w:r>
          </w:p>
        </w:tc>
      </w:tr>
      <w:tr>
        <w:trPr>
          <w:trHeight w:val="472" w:hRule="atLeast"/>
        </w:trPr>
        <w:tc>
          <w:tcPr>
            <w:tcW w:w="1985" w:type="dxa"/>
            <w:vMerge/>
            <w:tcBorders>
              <w:top w:val="nil"/>
            </w:tcBorders>
          </w:tcPr>
          <w:p>
            <w:pPr>
              <w:rPr>
                <w:sz w:val="2"/>
                <w:szCs w:val="2"/>
              </w:rPr>
            </w:pPr>
          </w:p>
        </w:tc>
        <w:tc>
          <w:tcPr>
            <w:tcW w:w="2950" w:type="dxa"/>
            <w:vMerge/>
            <w:tcBorders>
              <w:top w:val="nil"/>
            </w:tcBorders>
          </w:tcPr>
          <w:p>
            <w:pPr>
              <w:rPr>
                <w:sz w:val="2"/>
                <w:szCs w:val="2"/>
              </w:rPr>
            </w:pPr>
          </w:p>
        </w:tc>
        <w:tc>
          <w:tcPr>
            <w:tcW w:w="3262" w:type="dxa"/>
          </w:tcPr>
          <w:p>
            <w:pPr>
              <w:pStyle w:val="TableParagraph"/>
              <w:spacing w:before="70"/>
              <w:jc w:val="left"/>
              <w:rPr>
                <w:sz w:val="22"/>
              </w:rPr>
            </w:pPr>
            <w:r>
              <w:rPr>
                <w:sz w:val="22"/>
              </w:rPr>
              <w:t>包装质量与方便性一般</w:t>
            </w:r>
          </w:p>
        </w:tc>
        <w:tc>
          <w:tcPr>
            <w:tcW w:w="1049" w:type="dxa"/>
          </w:tcPr>
          <w:p>
            <w:pPr>
              <w:pStyle w:val="TableParagraph"/>
              <w:spacing w:before="78"/>
              <w:ind w:left="5"/>
              <w:rPr>
                <w:rFonts w:ascii="Calibri"/>
                <w:sz w:val="22"/>
              </w:rPr>
            </w:pPr>
            <w:r>
              <w:rPr>
                <w:rFonts w:ascii="Calibri"/>
                <w:w w:val="100"/>
                <w:sz w:val="22"/>
              </w:rPr>
              <w:t>1</w:t>
            </w:r>
          </w:p>
        </w:tc>
      </w:tr>
      <w:tr>
        <w:trPr>
          <w:trHeight w:val="405" w:hRule="atLeast"/>
        </w:trPr>
        <w:tc>
          <w:tcPr>
            <w:tcW w:w="1985" w:type="dxa"/>
            <w:vMerge w:val="restart"/>
          </w:tcPr>
          <w:p>
            <w:pPr>
              <w:pStyle w:val="TableParagraph"/>
              <w:spacing w:before="139"/>
              <w:ind w:left="89" w:right="78"/>
              <w:rPr>
                <w:b/>
                <w:sz w:val="22"/>
              </w:rPr>
            </w:pPr>
            <w:r>
              <w:rPr>
                <w:b/>
                <w:sz w:val="22"/>
              </w:rPr>
              <w:t>品牌认同度</w:t>
            </w:r>
          </w:p>
          <w:p>
            <w:pPr>
              <w:pStyle w:val="TableParagraph"/>
              <w:spacing w:before="45"/>
              <w:ind w:left="89" w:right="78"/>
              <w:rPr>
                <w:b/>
                <w:sz w:val="22"/>
              </w:rPr>
            </w:pPr>
            <w:r>
              <w:rPr>
                <w:b/>
                <w:sz w:val="22"/>
              </w:rPr>
              <w:t>（主观）</w:t>
            </w:r>
          </w:p>
          <w:p>
            <w:pPr>
              <w:pStyle w:val="TableParagraph"/>
              <w:spacing w:before="47"/>
              <w:ind w:left="87" w:right="78"/>
              <w:rPr>
                <w:b/>
                <w:sz w:val="22"/>
              </w:rPr>
            </w:pPr>
            <w:r>
              <w:rPr>
                <w:rFonts w:ascii="Calibri" w:eastAsia="Calibri"/>
                <w:b/>
                <w:sz w:val="22"/>
              </w:rPr>
              <w:t>3 </w:t>
            </w:r>
            <w:r>
              <w:rPr>
                <w:b/>
                <w:sz w:val="22"/>
              </w:rPr>
              <w:t>分</w:t>
            </w:r>
          </w:p>
        </w:tc>
        <w:tc>
          <w:tcPr>
            <w:tcW w:w="2950" w:type="dxa"/>
            <w:vMerge w:val="restart"/>
          </w:tcPr>
          <w:p>
            <w:pPr>
              <w:pStyle w:val="TableParagraph"/>
              <w:ind w:left="0"/>
              <w:jc w:val="left"/>
              <w:rPr>
                <w:sz w:val="22"/>
              </w:rPr>
            </w:pPr>
          </w:p>
          <w:p>
            <w:pPr>
              <w:pStyle w:val="TableParagraph"/>
              <w:spacing w:before="184"/>
              <w:jc w:val="left"/>
              <w:rPr>
                <w:sz w:val="22"/>
              </w:rPr>
            </w:pPr>
            <w:r>
              <w:rPr>
                <w:sz w:val="22"/>
              </w:rPr>
              <w:t>品牌在市场上的认同度</w:t>
            </w:r>
          </w:p>
        </w:tc>
        <w:tc>
          <w:tcPr>
            <w:tcW w:w="3262" w:type="dxa"/>
          </w:tcPr>
          <w:p>
            <w:pPr>
              <w:pStyle w:val="TableParagraph"/>
              <w:spacing w:before="36"/>
              <w:jc w:val="left"/>
              <w:rPr>
                <w:b/>
                <w:sz w:val="22"/>
              </w:rPr>
            </w:pPr>
            <w:r>
              <w:rPr>
                <w:b/>
                <w:sz w:val="22"/>
              </w:rPr>
              <w:t>品牌认同度优</w:t>
            </w:r>
          </w:p>
        </w:tc>
        <w:tc>
          <w:tcPr>
            <w:tcW w:w="1049" w:type="dxa"/>
          </w:tcPr>
          <w:p>
            <w:pPr>
              <w:pStyle w:val="TableParagraph"/>
              <w:spacing w:before="44"/>
              <w:ind w:left="5"/>
              <w:rPr>
                <w:rFonts w:ascii="Calibri"/>
                <w:b/>
                <w:sz w:val="22"/>
              </w:rPr>
            </w:pPr>
            <w:r>
              <w:rPr>
                <w:rFonts w:ascii="Calibri"/>
                <w:b/>
                <w:w w:val="100"/>
                <w:sz w:val="22"/>
              </w:rPr>
              <w:t>3</w:t>
            </w:r>
          </w:p>
        </w:tc>
      </w:tr>
      <w:tr>
        <w:trPr>
          <w:trHeight w:val="424" w:hRule="atLeast"/>
        </w:trPr>
        <w:tc>
          <w:tcPr>
            <w:tcW w:w="1985" w:type="dxa"/>
            <w:vMerge/>
            <w:tcBorders>
              <w:top w:val="nil"/>
            </w:tcBorders>
          </w:tcPr>
          <w:p>
            <w:pPr>
              <w:rPr>
                <w:sz w:val="2"/>
                <w:szCs w:val="2"/>
              </w:rPr>
            </w:pPr>
          </w:p>
        </w:tc>
        <w:tc>
          <w:tcPr>
            <w:tcW w:w="2950" w:type="dxa"/>
            <w:vMerge/>
            <w:tcBorders>
              <w:top w:val="nil"/>
            </w:tcBorders>
          </w:tcPr>
          <w:p>
            <w:pPr>
              <w:rPr>
                <w:sz w:val="2"/>
                <w:szCs w:val="2"/>
              </w:rPr>
            </w:pPr>
          </w:p>
        </w:tc>
        <w:tc>
          <w:tcPr>
            <w:tcW w:w="3262" w:type="dxa"/>
          </w:tcPr>
          <w:p>
            <w:pPr>
              <w:pStyle w:val="TableParagraph"/>
              <w:spacing w:before="46"/>
              <w:jc w:val="left"/>
              <w:rPr>
                <w:sz w:val="22"/>
              </w:rPr>
            </w:pPr>
            <w:r>
              <w:rPr>
                <w:sz w:val="22"/>
              </w:rPr>
              <w:t>品牌认同度良</w:t>
            </w:r>
          </w:p>
        </w:tc>
        <w:tc>
          <w:tcPr>
            <w:tcW w:w="1049" w:type="dxa"/>
          </w:tcPr>
          <w:p>
            <w:pPr>
              <w:pStyle w:val="TableParagraph"/>
              <w:spacing w:before="54"/>
              <w:ind w:left="5"/>
              <w:rPr>
                <w:rFonts w:ascii="Calibri"/>
                <w:sz w:val="22"/>
              </w:rPr>
            </w:pPr>
            <w:r>
              <w:rPr>
                <w:rFonts w:ascii="Calibri"/>
                <w:w w:val="100"/>
                <w:sz w:val="22"/>
              </w:rPr>
              <w:t>2</w:t>
            </w:r>
          </w:p>
        </w:tc>
      </w:tr>
      <w:tr>
        <w:trPr>
          <w:trHeight w:val="414" w:hRule="atLeast"/>
        </w:trPr>
        <w:tc>
          <w:tcPr>
            <w:tcW w:w="1985" w:type="dxa"/>
            <w:vMerge/>
            <w:tcBorders>
              <w:top w:val="nil"/>
            </w:tcBorders>
          </w:tcPr>
          <w:p>
            <w:pPr>
              <w:rPr>
                <w:sz w:val="2"/>
                <w:szCs w:val="2"/>
              </w:rPr>
            </w:pPr>
          </w:p>
        </w:tc>
        <w:tc>
          <w:tcPr>
            <w:tcW w:w="2950" w:type="dxa"/>
            <w:vMerge/>
            <w:tcBorders>
              <w:top w:val="nil"/>
            </w:tcBorders>
          </w:tcPr>
          <w:p>
            <w:pPr>
              <w:rPr>
                <w:sz w:val="2"/>
                <w:szCs w:val="2"/>
              </w:rPr>
            </w:pPr>
          </w:p>
        </w:tc>
        <w:tc>
          <w:tcPr>
            <w:tcW w:w="3262" w:type="dxa"/>
          </w:tcPr>
          <w:p>
            <w:pPr>
              <w:pStyle w:val="TableParagraph"/>
              <w:spacing w:before="41"/>
              <w:jc w:val="left"/>
              <w:rPr>
                <w:sz w:val="22"/>
              </w:rPr>
            </w:pPr>
            <w:r>
              <w:rPr>
                <w:sz w:val="22"/>
              </w:rPr>
              <w:t>品牌认同度一般</w:t>
            </w:r>
          </w:p>
        </w:tc>
        <w:tc>
          <w:tcPr>
            <w:tcW w:w="1049" w:type="dxa"/>
          </w:tcPr>
          <w:p>
            <w:pPr>
              <w:pStyle w:val="TableParagraph"/>
              <w:spacing w:before="49"/>
              <w:ind w:left="5"/>
              <w:rPr>
                <w:rFonts w:ascii="Calibri"/>
                <w:sz w:val="22"/>
              </w:rPr>
            </w:pPr>
            <w:r>
              <w:rPr>
                <w:rFonts w:ascii="Calibri"/>
                <w:w w:val="100"/>
                <w:sz w:val="22"/>
              </w:rPr>
              <w:t>1</w:t>
            </w:r>
          </w:p>
        </w:tc>
      </w:tr>
      <w:tr>
        <w:trPr>
          <w:trHeight w:val="410" w:hRule="atLeast"/>
        </w:trPr>
        <w:tc>
          <w:tcPr>
            <w:tcW w:w="1985" w:type="dxa"/>
            <w:vMerge w:val="restart"/>
          </w:tcPr>
          <w:p>
            <w:pPr>
              <w:pStyle w:val="TableParagraph"/>
              <w:spacing w:before="140"/>
              <w:ind w:left="89" w:right="78"/>
              <w:rPr>
                <w:b/>
                <w:sz w:val="22"/>
              </w:rPr>
            </w:pPr>
            <w:r>
              <w:rPr>
                <w:b/>
                <w:sz w:val="22"/>
              </w:rPr>
              <w:t>服务信誉度</w:t>
            </w:r>
          </w:p>
          <w:p>
            <w:pPr>
              <w:pStyle w:val="TableParagraph"/>
              <w:spacing w:before="47"/>
              <w:ind w:left="89" w:right="78"/>
              <w:rPr>
                <w:b/>
                <w:sz w:val="22"/>
              </w:rPr>
            </w:pPr>
            <w:r>
              <w:rPr>
                <w:b/>
                <w:sz w:val="22"/>
              </w:rPr>
              <w:t>（主观）</w:t>
            </w:r>
          </w:p>
          <w:p>
            <w:pPr>
              <w:pStyle w:val="TableParagraph"/>
              <w:spacing w:before="45"/>
              <w:ind w:left="87" w:right="78"/>
              <w:rPr>
                <w:b/>
                <w:sz w:val="22"/>
              </w:rPr>
            </w:pPr>
            <w:r>
              <w:rPr>
                <w:rFonts w:ascii="Calibri" w:eastAsia="Calibri"/>
                <w:b/>
                <w:sz w:val="22"/>
              </w:rPr>
              <w:t>3 </w:t>
            </w:r>
            <w:r>
              <w:rPr>
                <w:b/>
                <w:sz w:val="22"/>
              </w:rPr>
              <w:t>分</w:t>
            </w:r>
          </w:p>
        </w:tc>
        <w:tc>
          <w:tcPr>
            <w:tcW w:w="2950" w:type="dxa"/>
            <w:vMerge w:val="restart"/>
          </w:tcPr>
          <w:p>
            <w:pPr>
              <w:pStyle w:val="TableParagraph"/>
              <w:ind w:left="0"/>
              <w:jc w:val="left"/>
              <w:rPr>
                <w:sz w:val="22"/>
              </w:rPr>
            </w:pPr>
          </w:p>
          <w:p>
            <w:pPr>
              <w:pStyle w:val="TableParagraph"/>
              <w:spacing w:before="187"/>
              <w:jc w:val="left"/>
              <w:rPr>
                <w:sz w:val="22"/>
              </w:rPr>
            </w:pPr>
            <w:r>
              <w:rPr>
                <w:sz w:val="22"/>
              </w:rPr>
              <w:t>企业的服务信誉</w:t>
            </w:r>
          </w:p>
        </w:tc>
        <w:tc>
          <w:tcPr>
            <w:tcW w:w="3262" w:type="dxa"/>
          </w:tcPr>
          <w:p>
            <w:pPr>
              <w:pStyle w:val="TableParagraph"/>
              <w:spacing w:before="39"/>
              <w:jc w:val="left"/>
              <w:rPr>
                <w:b/>
                <w:sz w:val="22"/>
              </w:rPr>
            </w:pPr>
            <w:r>
              <w:rPr>
                <w:b/>
                <w:sz w:val="22"/>
              </w:rPr>
              <w:t>服务信誉度优</w:t>
            </w:r>
          </w:p>
        </w:tc>
        <w:tc>
          <w:tcPr>
            <w:tcW w:w="1049" w:type="dxa"/>
          </w:tcPr>
          <w:p>
            <w:pPr>
              <w:pStyle w:val="TableParagraph"/>
              <w:spacing w:before="47"/>
              <w:ind w:left="5"/>
              <w:rPr>
                <w:rFonts w:ascii="Calibri"/>
                <w:b/>
                <w:sz w:val="22"/>
              </w:rPr>
            </w:pPr>
            <w:r>
              <w:rPr>
                <w:rFonts w:ascii="Calibri"/>
                <w:b/>
                <w:w w:val="100"/>
                <w:sz w:val="22"/>
              </w:rPr>
              <w:t>3</w:t>
            </w:r>
          </w:p>
        </w:tc>
      </w:tr>
      <w:tr>
        <w:trPr>
          <w:trHeight w:val="414" w:hRule="atLeast"/>
        </w:trPr>
        <w:tc>
          <w:tcPr>
            <w:tcW w:w="1985" w:type="dxa"/>
            <w:vMerge/>
            <w:tcBorders>
              <w:top w:val="nil"/>
            </w:tcBorders>
          </w:tcPr>
          <w:p>
            <w:pPr>
              <w:rPr>
                <w:sz w:val="2"/>
                <w:szCs w:val="2"/>
              </w:rPr>
            </w:pPr>
          </w:p>
        </w:tc>
        <w:tc>
          <w:tcPr>
            <w:tcW w:w="2950" w:type="dxa"/>
            <w:vMerge/>
            <w:tcBorders>
              <w:top w:val="nil"/>
            </w:tcBorders>
          </w:tcPr>
          <w:p>
            <w:pPr>
              <w:rPr>
                <w:sz w:val="2"/>
                <w:szCs w:val="2"/>
              </w:rPr>
            </w:pPr>
          </w:p>
        </w:tc>
        <w:tc>
          <w:tcPr>
            <w:tcW w:w="3262" w:type="dxa"/>
          </w:tcPr>
          <w:p>
            <w:pPr>
              <w:pStyle w:val="TableParagraph"/>
              <w:spacing w:before="41"/>
              <w:jc w:val="left"/>
              <w:rPr>
                <w:sz w:val="22"/>
              </w:rPr>
            </w:pPr>
            <w:r>
              <w:rPr>
                <w:sz w:val="22"/>
              </w:rPr>
              <w:t>服务信誉度良</w:t>
            </w:r>
          </w:p>
        </w:tc>
        <w:tc>
          <w:tcPr>
            <w:tcW w:w="1049" w:type="dxa"/>
          </w:tcPr>
          <w:p>
            <w:pPr>
              <w:pStyle w:val="TableParagraph"/>
              <w:spacing w:before="49"/>
              <w:ind w:left="5"/>
              <w:rPr>
                <w:rFonts w:ascii="Calibri"/>
                <w:sz w:val="22"/>
              </w:rPr>
            </w:pPr>
            <w:r>
              <w:rPr>
                <w:rFonts w:ascii="Calibri"/>
                <w:w w:val="100"/>
                <w:sz w:val="22"/>
              </w:rPr>
              <w:t>2</w:t>
            </w:r>
          </w:p>
        </w:tc>
      </w:tr>
      <w:tr>
        <w:trPr>
          <w:trHeight w:val="421" w:hRule="atLeast"/>
        </w:trPr>
        <w:tc>
          <w:tcPr>
            <w:tcW w:w="1985" w:type="dxa"/>
            <w:vMerge/>
            <w:tcBorders>
              <w:top w:val="nil"/>
            </w:tcBorders>
          </w:tcPr>
          <w:p>
            <w:pPr>
              <w:rPr>
                <w:sz w:val="2"/>
                <w:szCs w:val="2"/>
              </w:rPr>
            </w:pPr>
          </w:p>
        </w:tc>
        <w:tc>
          <w:tcPr>
            <w:tcW w:w="2950" w:type="dxa"/>
            <w:vMerge/>
            <w:tcBorders>
              <w:top w:val="nil"/>
            </w:tcBorders>
          </w:tcPr>
          <w:p>
            <w:pPr>
              <w:rPr>
                <w:sz w:val="2"/>
                <w:szCs w:val="2"/>
              </w:rPr>
            </w:pPr>
          </w:p>
        </w:tc>
        <w:tc>
          <w:tcPr>
            <w:tcW w:w="3262" w:type="dxa"/>
          </w:tcPr>
          <w:p>
            <w:pPr>
              <w:pStyle w:val="TableParagraph"/>
              <w:spacing w:before="46"/>
              <w:jc w:val="left"/>
              <w:rPr>
                <w:sz w:val="22"/>
              </w:rPr>
            </w:pPr>
            <w:r>
              <w:rPr>
                <w:sz w:val="22"/>
              </w:rPr>
              <w:t>服务信誉度一般</w:t>
            </w:r>
          </w:p>
        </w:tc>
        <w:tc>
          <w:tcPr>
            <w:tcW w:w="1049" w:type="dxa"/>
          </w:tcPr>
          <w:p>
            <w:pPr>
              <w:pStyle w:val="TableParagraph"/>
              <w:spacing w:before="54"/>
              <w:ind w:left="5"/>
              <w:rPr>
                <w:rFonts w:ascii="Calibri"/>
                <w:sz w:val="22"/>
              </w:rPr>
            </w:pPr>
            <w:r>
              <w:rPr>
                <w:rFonts w:ascii="Calibri"/>
                <w:w w:val="100"/>
                <w:sz w:val="22"/>
              </w:rPr>
              <w:t>1</w:t>
            </w:r>
          </w:p>
        </w:tc>
      </w:tr>
    </w:tbl>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0"/>
        <w:ind w:left="0"/>
        <w:rPr>
          <w:sz w:val="20"/>
        </w:rPr>
      </w:pPr>
    </w:p>
    <w:p>
      <w:pPr>
        <w:pStyle w:val="BodyText"/>
        <w:spacing w:before="54"/>
      </w:pPr>
      <w:r>
        <w:rPr/>
        <w:t>附件 </w:t>
      </w:r>
      <w:r>
        <w:rPr>
          <w:rFonts w:ascii="Calibri" w:eastAsia="Calibri"/>
        </w:rPr>
        <w:t>5</w:t>
      </w:r>
      <w:r>
        <w:rPr/>
        <w:t>：</w:t>
      </w:r>
    </w:p>
    <w:p>
      <w:pPr>
        <w:pStyle w:val="BodyText"/>
        <w:spacing w:before="77"/>
        <w:ind w:left="2959"/>
      </w:pPr>
      <w:r>
        <w:rPr/>
        <w:t>商务评审指标表（40 分）</w:t>
      </w:r>
    </w:p>
    <w:p>
      <w:pPr>
        <w:pStyle w:val="BodyText"/>
        <w:spacing w:before="3"/>
        <w:ind w:left="0"/>
        <w:rPr>
          <w:sz w:val="10"/>
        </w:rPr>
      </w:pPr>
    </w:p>
    <w:tbl>
      <w:tblPr>
        <w:tblW w:w="0" w:type="auto"/>
        <w:jc w:val="left"/>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85"/>
        <w:gridCol w:w="2410"/>
        <w:gridCol w:w="1613"/>
        <w:gridCol w:w="2396"/>
        <w:gridCol w:w="1184"/>
      </w:tblGrid>
      <w:tr>
        <w:trPr>
          <w:trHeight w:val="667" w:hRule="atLeast"/>
        </w:trPr>
        <w:tc>
          <w:tcPr>
            <w:tcW w:w="1385" w:type="dxa"/>
          </w:tcPr>
          <w:p>
            <w:pPr>
              <w:pStyle w:val="TableParagraph"/>
              <w:spacing w:before="14"/>
              <w:ind w:left="0" w:right="94"/>
              <w:jc w:val="right"/>
              <w:rPr>
                <w:rFonts w:ascii="微软雅黑" w:eastAsia="微软雅黑" w:hint="eastAsia"/>
                <w:b/>
                <w:sz w:val="28"/>
              </w:rPr>
            </w:pPr>
            <w:r>
              <w:rPr>
                <w:rFonts w:ascii="微软雅黑" w:eastAsia="微软雅黑" w:hint="eastAsia"/>
                <w:b/>
                <w:sz w:val="28"/>
              </w:rPr>
              <w:t>评价指标</w:t>
            </w:r>
          </w:p>
        </w:tc>
        <w:tc>
          <w:tcPr>
            <w:tcW w:w="2410" w:type="dxa"/>
          </w:tcPr>
          <w:p>
            <w:pPr>
              <w:pStyle w:val="TableParagraph"/>
              <w:spacing w:before="14"/>
              <w:ind w:left="87" w:right="32"/>
              <w:rPr>
                <w:rFonts w:ascii="微软雅黑" w:eastAsia="微软雅黑" w:hint="eastAsia"/>
                <w:b/>
                <w:sz w:val="28"/>
              </w:rPr>
            </w:pPr>
            <w:r>
              <w:rPr>
                <w:rFonts w:ascii="微软雅黑" w:eastAsia="微软雅黑" w:hint="eastAsia"/>
                <w:b/>
                <w:sz w:val="28"/>
              </w:rPr>
              <w:t>评价项</w:t>
            </w:r>
          </w:p>
        </w:tc>
        <w:tc>
          <w:tcPr>
            <w:tcW w:w="1613" w:type="dxa"/>
          </w:tcPr>
          <w:p>
            <w:pPr>
              <w:pStyle w:val="TableParagraph"/>
              <w:spacing w:before="14"/>
              <w:ind w:left="53"/>
              <w:rPr>
                <w:rFonts w:ascii="微软雅黑" w:eastAsia="微软雅黑" w:hint="eastAsia"/>
                <w:b/>
                <w:sz w:val="28"/>
              </w:rPr>
            </w:pPr>
            <w:r>
              <w:rPr>
                <w:rFonts w:ascii="微软雅黑" w:eastAsia="微软雅黑" w:hint="eastAsia"/>
                <w:b/>
                <w:sz w:val="28"/>
              </w:rPr>
              <w:t>分值</w:t>
            </w:r>
          </w:p>
        </w:tc>
        <w:tc>
          <w:tcPr>
            <w:tcW w:w="2396" w:type="dxa"/>
          </w:tcPr>
          <w:p>
            <w:pPr>
              <w:pStyle w:val="TableParagraph"/>
              <w:spacing w:before="14"/>
              <w:ind w:left="236" w:right="178"/>
              <w:rPr>
                <w:rFonts w:ascii="微软雅黑" w:eastAsia="微软雅黑" w:hint="eastAsia"/>
                <w:b/>
                <w:sz w:val="28"/>
              </w:rPr>
            </w:pPr>
            <w:r>
              <w:rPr>
                <w:rFonts w:ascii="微软雅黑" w:eastAsia="微软雅黑" w:hint="eastAsia"/>
                <w:b/>
                <w:sz w:val="28"/>
              </w:rPr>
              <w:t>描述</w:t>
            </w:r>
          </w:p>
        </w:tc>
        <w:tc>
          <w:tcPr>
            <w:tcW w:w="1184" w:type="dxa"/>
          </w:tcPr>
          <w:p>
            <w:pPr>
              <w:pStyle w:val="TableParagraph"/>
              <w:spacing w:before="14"/>
              <w:ind w:left="175" w:right="119"/>
              <w:rPr>
                <w:rFonts w:ascii="微软雅黑" w:eastAsia="微软雅黑" w:hint="eastAsia"/>
                <w:b/>
                <w:sz w:val="28"/>
              </w:rPr>
            </w:pPr>
            <w:r>
              <w:rPr>
                <w:rFonts w:ascii="微软雅黑" w:eastAsia="微软雅黑" w:hint="eastAsia"/>
                <w:b/>
                <w:sz w:val="28"/>
              </w:rPr>
              <w:t>总分值</w:t>
            </w:r>
          </w:p>
        </w:tc>
      </w:tr>
      <w:tr>
        <w:trPr>
          <w:trHeight w:val="444" w:hRule="atLeast"/>
        </w:trPr>
        <w:tc>
          <w:tcPr>
            <w:tcW w:w="1385" w:type="dxa"/>
            <w:tcBorders>
              <w:bottom w:val="nil"/>
            </w:tcBorders>
          </w:tcPr>
          <w:p>
            <w:pPr>
              <w:pStyle w:val="TableParagraph"/>
              <w:ind w:left="0"/>
              <w:jc w:val="left"/>
              <w:rPr>
                <w:rFonts w:ascii="Times New Roman"/>
                <w:sz w:val="26"/>
              </w:rPr>
            </w:pPr>
          </w:p>
        </w:tc>
        <w:tc>
          <w:tcPr>
            <w:tcW w:w="2410" w:type="dxa"/>
            <w:tcBorders>
              <w:bottom w:val="nil"/>
            </w:tcBorders>
          </w:tcPr>
          <w:p>
            <w:pPr>
              <w:pStyle w:val="TableParagraph"/>
              <w:spacing w:before="10"/>
              <w:ind w:left="88" w:right="32"/>
              <w:rPr>
                <w:sz w:val="28"/>
              </w:rPr>
            </w:pPr>
            <w:r>
              <w:rPr>
                <w:sz w:val="28"/>
              </w:rPr>
              <w:t>在上限价基础上降</w:t>
            </w:r>
          </w:p>
        </w:tc>
        <w:tc>
          <w:tcPr>
            <w:tcW w:w="1613" w:type="dxa"/>
            <w:tcBorders>
              <w:bottom w:val="nil"/>
            </w:tcBorders>
          </w:tcPr>
          <w:p>
            <w:pPr>
              <w:pStyle w:val="TableParagraph"/>
              <w:spacing w:before="10"/>
              <w:ind w:left="57"/>
              <w:rPr>
                <w:sz w:val="28"/>
              </w:rPr>
            </w:pPr>
            <w:r>
              <w:rPr>
                <w:sz w:val="28"/>
              </w:rPr>
              <w:t>每一个百分</w:t>
            </w:r>
          </w:p>
        </w:tc>
        <w:tc>
          <w:tcPr>
            <w:tcW w:w="2396" w:type="dxa"/>
            <w:vMerge w:val="restart"/>
          </w:tcPr>
          <w:p>
            <w:pPr>
              <w:pStyle w:val="TableParagraph"/>
              <w:spacing w:line="321" w:lineRule="auto" w:before="259"/>
              <w:ind w:left="242" w:right="178"/>
              <w:rPr>
                <w:sz w:val="28"/>
              </w:rPr>
            </w:pPr>
            <w:r>
              <w:rPr>
                <w:sz w:val="28"/>
              </w:rPr>
              <w:t>计算商品包内每个产品得分的平均值，不足一个百分点的四舍五入</w:t>
            </w:r>
          </w:p>
        </w:tc>
        <w:tc>
          <w:tcPr>
            <w:tcW w:w="1184" w:type="dxa"/>
            <w:tcBorders>
              <w:bottom w:val="nil"/>
            </w:tcBorders>
          </w:tcPr>
          <w:p>
            <w:pPr>
              <w:pStyle w:val="TableParagraph"/>
              <w:ind w:left="0"/>
              <w:jc w:val="left"/>
              <w:rPr>
                <w:rFonts w:ascii="Times New Roman"/>
                <w:sz w:val="26"/>
              </w:rPr>
            </w:pPr>
          </w:p>
        </w:tc>
      </w:tr>
      <w:tr>
        <w:trPr>
          <w:trHeight w:val="505" w:hRule="atLeast"/>
        </w:trPr>
        <w:tc>
          <w:tcPr>
            <w:tcW w:w="1385" w:type="dxa"/>
            <w:tcBorders>
              <w:top w:val="nil"/>
              <w:bottom w:val="nil"/>
            </w:tcBorders>
          </w:tcPr>
          <w:p>
            <w:pPr>
              <w:pStyle w:val="TableParagraph"/>
              <w:ind w:left="0"/>
              <w:jc w:val="left"/>
              <w:rPr>
                <w:rFonts w:ascii="Times New Roman"/>
                <w:sz w:val="26"/>
              </w:rPr>
            </w:pPr>
          </w:p>
        </w:tc>
        <w:tc>
          <w:tcPr>
            <w:tcW w:w="2410" w:type="dxa"/>
            <w:tcBorders>
              <w:top w:val="nil"/>
            </w:tcBorders>
          </w:tcPr>
          <w:p>
            <w:pPr>
              <w:pStyle w:val="TableParagraph"/>
              <w:spacing w:before="36"/>
              <w:ind w:left="88" w:right="32"/>
              <w:rPr>
                <w:sz w:val="28"/>
              </w:rPr>
            </w:pPr>
            <w:r>
              <w:rPr>
                <w:w w:val="115"/>
                <w:sz w:val="28"/>
              </w:rPr>
              <w:t>价≤10%</w:t>
            </w:r>
          </w:p>
        </w:tc>
        <w:tc>
          <w:tcPr>
            <w:tcW w:w="1613" w:type="dxa"/>
            <w:tcBorders>
              <w:top w:val="nil"/>
            </w:tcBorders>
          </w:tcPr>
          <w:p>
            <w:pPr>
              <w:pStyle w:val="TableParagraph"/>
              <w:spacing w:before="36"/>
              <w:ind w:left="55"/>
              <w:rPr>
                <w:sz w:val="28"/>
              </w:rPr>
            </w:pPr>
            <w:r>
              <w:rPr>
                <w:sz w:val="28"/>
              </w:rPr>
              <w:t>点计 0.5 分</w:t>
            </w:r>
          </w:p>
        </w:tc>
        <w:tc>
          <w:tcPr>
            <w:tcW w:w="2396" w:type="dxa"/>
            <w:vMerge/>
            <w:tcBorders>
              <w:top w:val="nil"/>
            </w:tcBorders>
          </w:tcPr>
          <w:p>
            <w:pPr>
              <w:rPr>
                <w:sz w:val="2"/>
                <w:szCs w:val="2"/>
              </w:rPr>
            </w:pPr>
          </w:p>
        </w:tc>
        <w:tc>
          <w:tcPr>
            <w:tcW w:w="1184" w:type="dxa"/>
            <w:tcBorders>
              <w:top w:val="nil"/>
              <w:bottom w:val="nil"/>
            </w:tcBorders>
          </w:tcPr>
          <w:p>
            <w:pPr>
              <w:pStyle w:val="TableParagraph"/>
              <w:ind w:left="0"/>
              <w:jc w:val="left"/>
              <w:rPr>
                <w:rFonts w:ascii="Times New Roman"/>
                <w:sz w:val="26"/>
              </w:rPr>
            </w:pPr>
          </w:p>
        </w:tc>
      </w:tr>
      <w:tr>
        <w:trPr>
          <w:trHeight w:val="962" w:hRule="atLeast"/>
        </w:trPr>
        <w:tc>
          <w:tcPr>
            <w:tcW w:w="1385" w:type="dxa"/>
            <w:tcBorders>
              <w:top w:val="nil"/>
              <w:bottom w:val="nil"/>
            </w:tcBorders>
          </w:tcPr>
          <w:p>
            <w:pPr>
              <w:pStyle w:val="TableParagraph"/>
              <w:spacing w:before="250"/>
              <w:ind w:left="0" w:right="95"/>
              <w:jc w:val="right"/>
              <w:rPr>
                <w:sz w:val="28"/>
              </w:rPr>
            </w:pPr>
            <w:r>
              <w:rPr>
                <w:sz w:val="28"/>
              </w:rPr>
              <w:t>降价幅度</w:t>
            </w:r>
          </w:p>
        </w:tc>
        <w:tc>
          <w:tcPr>
            <w:tcW w:w="2410" w:type="dxa"/>
          </w:tcPr>
          <w:p>
            <w:pPr>
              <w:pStyle w:val="TableParagraph"/>
              <w:spacing w:before="10"/>
              <w:ind w:left="88" w:right="31"/>
              <w:rPr>
                <w:sz w:val="28"/>
              </w:rPr>
            </w:pPr>
            <w:r>
              <w:rPr>
                <w:w w:val="105"/>
                <w:sz w:val="28"/>
              </w:rPr>
              <w:t>10%＜在上限价基</w:t>
            </w:r>
          </w:p>
          <w:p>
            <w:pPr>
              <w:pStyle w:val="TableParagraph"/>
              <w:spacing w:before="124"/>
              <w:ind w:left="87" w:right="32"/>
              <w:rPr>
                <w:sz w:val="28"/>
              </w:rPr>
            </w:pPr>
            <w:r>
              <w:rPr>
                <w:w w:val="105"/>
                <w:sz w:val="28"/>
              </w:rPr>
              <w:t>础上降价≤20%</w:t>
            </w:r>
          </w:p>
        </w:tc>
        <w:tc>
          <w:tcPr>
            <w:tcW w:w="1613" w:type="dxa"/>
          </w:tcPr>
          <w:p>
            <w:pPr>
              <w:pStyle w:val="TableParagraph"/>
              <w:spacing w:before="10"/>
              <w:ind w:left="129"/>
              <w:jc w:val="left"/>
              <w:rPr>
                <w:sz w:val="28"/>
              </w:rPr>
            </w:pPr>
            <w:r>
              <w:rPr>
                <w:spacing w:val="-1"/>
                <w:sz w:val="28"/>
              </w:rPr>
              <w:t>每一个百分</w:t>
            </w:r>
          </w:p>
          <w:p>
            <w:pPr>
              <w:pStyle w:val="TableParagraph"/>
              <w:spacing w:before="124"/>
              <w:ind w:left="165"/>
              <w:jc w:val="left"/>
              <w:rPr>
                <w:sz w:val="28"/>
              </w:rPr>
            </w:pPr>
            <w:r>
              <w:rPr>
                <w:spacing w:val="-36"/>
                <w:sz w:val="28"/>
              </w:rPr>
              <w:t>点计 </w:t>
            </w:r>
            <w:r>
              <w:rPr>
                <w:sz w:val="28"/>
              </w:rPr>
              <w:t>0.8</w:t>
            </w:r>
            <w:r>
              <w:rPr>
                <w:spacing w:val="-54"/>
                <w:sz w:val="28"/>
              </w:rPr>
              <w:t> 分</w:t>
            </w:r>
          </w:p>
        </w:tc>
        <w:tc>
          <w:tcPr>
            <w:tcW w:w="2396" w:type="dxa"/>
            <w:vMerge/>
            <w:tcBorders>
              <w:top w:val="nil"/>
            </w:tcBorders>
          </w:tcPr>
          <w:p>
            <w:pPr>
              <w:rPr>
                <w:sz w:val="2"/>
                <w:szCs w:val="2"/>
              </w:rPr>
            </w:pPr>
          </w:p>
        </w:tc>
        <w:tc>
          <w:tcPr>
            <w:tcW w:w="1184" w:type="dxa"/>
            <w:tcBorders>
              <w:top w:val="nil"/>
              <w:bottom w:val="nil"/>
            </w:tcBorders>
          </w:tcPr>
          <w:p>
            <w:pPr>
              <w:pStyle w:val="TableParagraph"/>
              <w:spacing w:before="250"/>
              <w:ind w:left="175" w:right="116"/>
              <w:rPr>
                <w:sz w:val="28"/>
              </w:rPr>
            </w:pPr>
            <w:r>
              <w:rPr>
                <w:sz w:val="28"/>
              </w:rPr>
              <w:t>40</w:t>
            </w:r>
          </w:p>
        </w:tc>
      </w:tr>
      <w:tr>
        <w:trPr>
          <w:trHeight w:val="444" w:hRule="atLeast"/>
        </w:trPr>
        <w:tc>
          <w:tcPr>
            <w:tcW w:w="1385" w:type="dxa"/>
            <w:tcBorders>
              <w:top w:val="nil"/>
              <w:bottom w:val="nil"/>
            </w:tcBorders>
          </w:tcPr>
          <w:p>
            <w:pPr>
              <w:pStyle w:val="TableParagraph"/>
              <w:ind w:left="0"/>
              <w:jc w:val="left"/>
              <w:rPr>
                <w:rFonts w:ascii="Times New Roman"/>
                <w:sz w:val="26"/>
              </w:rPr>
            </w:pPr>
          </w:p>
        </w:tc>
        <w:tc>
          <w:tcPr>
            <w:tcW w:w="2410" w:type="dxa"/>
            <w:tcBorders>
              <w:bottom w:val="nil"/>
            </w:tcBorders>
          </w:tcPr>
          <w:p>
            <w:pPr>
              <w:pStyle w:val="TableParagraph"/>
              <w:spacing w:before="10"/>
              <w:ind w:left="88" w:right="32"/>
              <w:rPr>
                <w:sz w:val="28"/>
              </w:rPr>
            </w:pPr>
            <w:r>
              <w:rPr>
                <w:sz w:val="28"/>
              </w:rPr>
              <w:t>在上限价基础上降</w:t>
            </w:r>
          </w:p>
        </w:tc>
        <w:tc>
          <w:tcPr>
            <w:tcW w:w="1613" w:type="dxa"/>
            <w:tcBorders>
              <w:bottom w:val="nil"/>
            </w:tcBorders>
          </w:tcPr>
          <w:p>
            <w:pPr>
              <w:pStyle w:val="TableParagraph"/>
              <w:spacing w:before="10"/>
              <w:ind w:left="57"/>
              <w:rPr>
                <w:sz w:val="28"/>
              </w:rPr>
            </w:pPr>
            <w:r>
              <w:rPr>
                <w:sz w:val="28"/>
              </w:rPr>
              <w:t>每一个百分</w:t>
            </w:r>
          </w:p>
        </w:tc>
        <w:tc>
          <w:tcPr>
            <w:tcW w:w="2396" w:type="dxa"/>
            <w:vMerge/>
            <w:tcBorders>
              <w:top w:val="nil"/>
            </w:tcBorders>
          </w:tcPr>
          <w:p>
            <w:pPr>
              <w:rPr>
                <w:sz w:val="2"/>
                <w:szCs w:val="2"/>
              </w:rPr>
            </w:pPr>
          </w:p>
        </w:tc>
        <w:tc>
          <w:tcPr>
            <w:tcW w:w="1184" w:type="dxa"/>
            <w:tcBorders>
              <w:top w:val="nil"/>
              <w:bottom w:val="nil"/>
            </w:tcBorders>
          </w:tcPr>
          <w:p>
            <w:pPr>
              <w:pStyle w:val="TableParagraph"/>
              <w:ind w:left="0"/>
              <w:jc w:val="left"/>
              <w:rPr>
                <w:rFonts w:ascii="Times New Roman"/>
                <w:sz w:val="26"/>
              </w:rPr>
            </w:pPr>
          </w:p>
        </w:tc>
      </w:tr>
      <w:tr>
        <w:trPr>
          <w:trHeight w:val="505" w:hRule="atLeast"/>
        </w:trPr>
        <w:tc>
          <w:tcPr>
            <w:tcW w:w="1385" w:type="dxa"/>
            <w:tcBorders>
              <w:top w:val="nil"/>
            </w:tcBorders>
          </w:tcPr>
          <w:p>
            <w:pPr>
              <w:pStyle w:val="TableParagraph"/>
              <w:ind w:left="0"/>
              <w:jc w:val="left"/>
              <w:rPr>
                <w:rFonts w:ascii="Times New Roman"/>
                <w:sz w:val="26"/>
              </w:rPr>
            </w:pPr>
          </w:p>
        </w:tc>
        <w:tc>
          <w:tcPr>
            <w:tcW w:w="2410" w:type="dxa"/>
            <w:tcBorders>
              <w:top w:val="nil"/>
            </w:tcBorders>
          </w:tcPr>
          <w:p>
            <w:pPr>
              <w:pStyle w:val="TableParagraph"/>
              <w:spacing w:before="36"/>
              <w:ind w:left="88" w:right="32"/>
              <w:rPr>
                <w:sz w:val="28"/>
              </w:rPr>
            </w:pPr>
            <w:r>
              <w:rPr>
                <w:w w:val="115"/>
                <w:sz w:val="28"/>
              </w:rPr>
              <w:t>价＞20%</w:t>
            </w:r>
          </w:p>
        </w:tc>
        <w:tc>
          <w:tcPr>
            <w:tcW w:w="1613" w:type="dxa"/>
            <w:tcBorders>
              <w:top w:val="nil"/>
            </w:tcBorders>
          </w:tcPr>
          <w:p>
            <w:pPr>
              <w:pStyle w:val="TableParagraph"/>
              <w:spacing w:before="36"/>
              <w:ind w:left="55"/>
              <w:rPr>
                <w:sz w:val="28"/>
              </w:rPr>
            </w:pPr>
            <w:r>
              <w:rPr>
                <w:sz w:val="28"/>
              </w:rPr>
              <w:t>点计 1 分</w:t>
            </w:r>
          </w:p>
        </w:tc>
        <w:tc>
          <w:tcPr>
            <w:tcW w:w="2396" w:type="dxa"/>
            <w:vMerge/>
            <w:tcBorders>
              <w:top w:val="nil"/>
            </w:tcBorders>
          </w:tcPr>
          <w:p>
            <w:pPr>
              <w:rPr>
                <w:sz w:val="2"/>
                <w:szCs w:val="2"/>
              </w:rPr>
            </w:pPr>
          </w:p>
        </w:tc>
        <w:tc>
          <w:tcPr>
            <w:tcW w:w="1184" w:type="dxa"/>
            <w:tcBorders>
              <w:top w:val="nil"/>
            </w:tcBorders>
          </w:tcPr>
          <w:p>
            <w:pPr>
              <w:pStyle w:val="TableParagraph"/>
              <w:ind w:left="0"/>
              <w:jc w:val="left"/>
              <w:rPr>
                <w:rFonts w:ascii="Times New Roman"/>
                <w:sz w:val="26"/>
              </w:rPr>
            </w:pPr>
          </w:p>
        </w:tc>
      </w:tr>
    </w:tbl>
    <w:p>
      <w:pPr>
        <w:pStyle w:val="BodyText"/>
        <w:spacing w:line="321" w:lineRule="auto" w:before="9"/>
        <w:ind w:right="518" w:firstLine="640"/>
      </w:pPr>
      <w:r>
        <w:rPr/>
        <w:t>降价幅度的计算方法：降价幅度＝（上限价－报价）÷上限价×100%；</w:t>
      </w:r>
    </w:p>
    <w:p>
      <w:pPr>
        <w:pStyle w:val="BodyText"/>
        <w:spacing w:line="321" w:lineRule="auto" w:before="60"/>
        <w:ind w:right="518"/>
      </w:pPr>
      <w:r>
        <w:rPr/>
        <w:t>平均降价幅度指商品包内每个产品降价幅度的平均值，平均降价幅度百分比保留小数点后两位。</w:t>
      </w:r>
    </w:p>
    <w:p>
      <w:pPr>
        <w:spacing w:after="0" w:line="321" w:lineRule="auto"/>
        <w:sectPr>
          <w:pgSz w:w="11910" w:h="16840"/>
          <w:pgMar w:header="0" w:footer="1302" w:top="1400" w:bottom="1500" w:left="1220" w:right="1160"/>
        </w:sectPr>
      </w:pPr>
    </w:p>
    <w:p>
      <w:pPr>
        <w:pStyle w:val="BodyText"/>
        <w:spacing w:before="3"/>
        <w:ind w:left="0"/>
        <w:rPr>
          <w:sz w:val="19"/>
        </w:rPr>
      </w:pPr>
    </w:p>
    <w:p>
      <w:pPr>
        <w:pStyle w:val="BodyText"/>
        <w:spacing w:before="65"/>
      </w:pPr>
      <w:r>
        <w:rPr/>
        <w:t>附件 </w:t>
      </w:r>
      <w:r>
        <w:rPr>
          <w:rFonts w:ascii="Times New Roman" w:eastAsia="Times New Roman"/>
        </w:rPr>
        <w:t>5-1</w:t>
      </w:r>
      <w:r>
        <w:rPr/>
        <w:t>：</w:t>
      </w:r>
    </w:p>
    <w:p>
      <w:pPr>
        <w:spacing w:line="559" w:lineRule="auto" w:before="201"/>
        <w:ind w:left="2239" w:right="1406" w:hanging="841"/>
        <w:jc w:val="left"/>
        <w:rPr>
          <w:sz w:val="28"/>
        </w:rPr>
      </w:pPr>
      <w:r>
        <w:rPr>
          <w:sz w:val="28"/>
        </w:rPr>
        <w:t>徐州市医疗卫生机构医用耗材和检验检测试剂集中采购申报企业申请函及法定代表人授权委托书</w:t>
      </w:r>
    </w:p>
    <w:p>
      <w:pPr>
        <w:spacing w:before="59"/>
        <w:ind w:left="369" w:right="0" w:firstLine="0"/>
        <w:jc w:val="left"/>
        <w:rPr>
          <w:sz w:val="30"/>
        </w:rPr>
      </w:pPr>
      <w:r>
        <w:rPr>
          <w:w w:val="95"/>
          <w:sz w:val="30"/>
        </w:rPr>
        <w:t>徐州市</w:t>
      </w:r>
      <w:r>
        <w:rPr>
          <w:color w:val="333333"/>
          <w:w w:val="95"/>
          <w:sz w:val="32"/>
        </w:rPr>
        <w:t>耗材集中采购办公室</w:t>
      </w:r>
      <w:r>
        <w:rPr>
          <w:w w:val="95"/>
          <w:sz w:val="30"/>
        </w:rPr>
        <w:t>：</w:t>
      </w:r>
    </w:p>
    <w:p>
      <w:pPr>
        <w:pStyle w:val="BodyText"/>
        <w:spacing w:before="6"/>
        <w:ind w:left="0"/>
        <w:rPr>
          <w:sz w:val="28"/>
        </w:rPr>
      </w:pPr>
    </w:p>
    <w:p>
      <w:pPr>
        <w:tabs>
          <w:tab w:pos="3571" w:val="left" w:leader="none"/>
          <w:tab w:pos="3720" w:val="left" w:leader="none"/>
          <w:tab w:pos="7671" w:val="left" w:leader="none"/>
        </w:tabs>
        <w:spacing w:line="420" w:lineRule="auto" w:before="0"/>
        <w:ind w:left="369" w:right="453" w:firstLine="751"/>
        <w:jc w:val="left"/>
        <w:rPr>
          <w:sz w:val="30"/>
        </w:rPr>
      </w:pPr>
      <w:r>
        <w:rPr>
          <w:sz w:val="30"/>
        </w:rPr>
        <w:t>本企业</w:t>
      </w:r>
      <w:r>
        <w:rPr>
          <w:sz w:val="30"/>
          <w:u w:val="single"/>
        </w:rPr>
        <w:t> </w:t>
        <w:tab/>
      </w:r>
      <w:r>
        <w:rPr>
          <w:sz w:val="30"/>
        </w:rPr>
        <w:t>（企业名称）自愿申请参与徐州市医疗卫生机构医用耗材和检验检测试剂集中采购。由本企业法定代表人</w:t>
      </w:r>
      <w:r>
        <w:rPr>
          <w:spacing w:val="-16"/>
          <w:sz w:val="30"/>
        </w:rPr>
        <w:t>授</w:t>
      </w:r>
      <w:r>
        <w:rPr>
          <w:sz w:val="30"/>
        </w:rPr>
        <w:t>权本企业员工</w:t>
      </w:r>
      <w:r>
        <w:rPr>
          <w:sz w:val="30"/>
          <w:u w:val="single"/>
        </w:rPr>
        <w:t> </w:t>
        <w:tab/>
        <w:tab/>
      </w:r>
      <w:r>
        <w:rPr>
          <w:sz w:val="30"/>
        </w:rPr>
        <w:t>（被授权人姓名）</w:t>
      </w:r>
      <w:r>
        <w:rPr>
          <w:sz w:val="30"/>
          <w:u w:val="single"/>
        </w:rPr>
        <w:t> </w:t>
        <w:tab/>
      </w:r>
      <w:r>
        <w:rPr>
          <w:sz w:val="30"/>
        </w:rPr>
        <w:t>（身份证号）为本企业被授权人，负责徐州市医疗卫生机构医用耗材和检</w:t>
      </w:r>
      <w:r>
        <w:rPr>
          <w:spacing w:val="-17"/>
          <w:sz w:val="30"/>
        </w:rPr>
        <w:t>验</w:t>
      </w:r>
      <w:r>
        <w:rPr>
          <w:sz w:val="30"/>
        </w:rPr>
        <w:t>检测试剂集中采购活动的相关事宜，并以本企业名义处理一切与</w:t>
      </w:r>
      <w:r>
        <w:rPr>
          <w:spacing w:val="-16"/>
          <w:sz w:val="30"/>
        </w:rPr>
        <w:t>之</w:t>
      </w:r>
      <w:r>
        <w:rPr>
          <w:sz w:val="30"/>
        </w:rPr>
        <w:t>有关的事务。包含文件递交、账号及密码领取、产品信息确认、</w:t>
      </w:r>
      <w:r>
        <w:rPr>
          <w:spacing w:val="-16"/>
          <w:sz w:val="30"/>
        </w:rPr>
        <w:t>网</w:t>
      </w:r>
      <w:r>
        <w:rPr>
          <w:sz w:val="30"/>
        </w:rPr>
        <w:t>上报价、价格确认及价格谈判等工作。本企业认可此被授权人签</w:t>
      </w:r>
      <w:r>
        <w:rPr>
          <w:spacing w:val="-15"/>
          <w:sz w:val="30"/>
        </w:rPr>
        <w:t>字</w:t>
      </w:r>
      <w:r>
        <w:rPr>
          <w:sz w:val="30"/>
        </w:rPr>
        <w:t>的文件对本企业具有法律效力。</w:t>
      </w:r>
    </w:p>
    <w:p>
      <w:pPr>
        <w:spacing w:line="420" w:lineRule="auto" w:before="0"/>
        <w:ind w:left="369" w:right="1955" w:firstLine="599"/>
        <w:jc w:val="left"/>
        <w:rPr>
          <w:sz w:val="30"/>
        </w:rPr>
      </w:pPr>
      <w:r>
        <w:rPr>
          <w:sz w:val="30"/>
        </w:rPr>
        <w:t>本授权书自出具之日起至本次采购工作结束有效。出具日期：企业盖章：</w:t>
      </w:r>
    </w:p>
    <w:p>
      <w:pPr>
        <w:spacing w:line="383" w:lineRule="exact" w:before="0"/>
        <w:ind w:left="369" w:right="0" w:firstLine="0"/>
        <w:jc w:val="left"/>
        <w:rPr>
          <w:sz w:val="30"/>
        </w:rPr>
      </w:pPr>
      <w:r>
        <w:rPr>
          <w:sz w:val="30"/>
        </w:rPr>
        <w:t>法定代表人签字：</w:t>
      </w:r>
    </w:p>
    <w:p>
      <w:pPr>
        <w:tabs>
          <w:tab w:pos="3494" w:val="left" w:leader="none"/>
        </w:tabs>
        <w:spacing w:line="420" w:lineRule="auto" w:before="276"/>
        <w:ind w:left="369" w:right="4529" w:firstLine="0"/>
        <w:jc w:val="left"/>
        <w:rPr>
          <w:sz w:val="30"/>
        </w:rPr>
      </w:pPr>
      <w:r>
        <w:rPr>
          <w:sz w:val="30"/>
        </w:rPr>
        <w:t>固定电话：</w:t>
      </w:r>
      <w:r>
        <w:rPr>
          <w:sz w:val="30"/>
          <w:u w:val="single"/>
        </w:rPr>
        <w:t> </w:t>
        <w:tab/>
      </w:r>
      <w:r>
        <w:rPr>
          <w:sz w:val="30"/>
        </w:rPr>
        <w:t>移动电话</w:t>
      </w:r>
      <w:r>
        <w:rPr>
          <w:spacing w:val="-17"/>
          <w:sz w:val="30"/>
        </w:rPr>
        <w:t>： </w:t>
      </w:r>
      <w:r>
        <w:rPr>
          <w:sz w:val="30"/>
        </w:rPr>
        <w:t>企业注册地址：</w:t>
      </w:r>
    </w:p>
    <w:p>
      <w:pPr>
        <w:spacing w:line="420" w:lineRule="auto" w:before="0"/>
        <w:ind w:left="369" w:right="7055" w:firstLine="0"/>
        <w:jc w:val="left"/>
        <w:rPr>
          <w:sz w:val="30"/>
        </w:rPr>
      </w:pPr>
      <w:r>
        <w:rPr>
          <w:spacing w:val="-3"/>
          <w:sz w:val="30"/>
        </w:rPr>
        <w:t>企业联系电话： 被授权人签字：</w:t>
      </w:r>
    </w:p>
    <w:p>
      <w:pPr>
        <w:spacing w:after="0" w:line="420" w:lineRule="auto"/>
        <w:jc w:val="left"/>
        <w:rPr>
          <w:sz w:val="30"/>
        </w:rPr>
        <w:sectPr>
          <w:pgSz w:w="11910" w:h="16840"/>
          <w:pgMar w:header="0" w:footer="1302" w:top="1580" w:bottom="1500" w:left="1220" w:right="1160"/>
        </w:sectPr>
      </w:pPr>
    </w:p>
    <w:p>
      <w:pPr>
        <w:tabs>
          <w:tab w:pos="3494" w:val="left" w:leader="none"/>
        </w:tabs>
        <w:spacing w:before="47"/>
        <w:ind w:left="369" w:right="0" w:firstLine="0"/>
        <w:jc w:val="left"/>
        <w:rPr>
          <w:sz w:val="30"/>
        </w:rPr>
      </w:pPr>
      <w:r>
        <w:rPr>
          <w:sz w:val="30"/>
        </w:rPr>
        <w:t>固定电话：</w:t>
      </w:r>
      <w:r>
        <w:rPr>
          <w:sz w:val="30"/>
          <w:u w:val="single"/>
        </w:rPr>
        <w:t> </w:t>
        <w:tab/>
      </w:r>
      <w:r>
        <w:rPr>
          <w:sz w:val="30"/>
        </w:rPr>
        <w:t>移动电话：</w:t>
      </w:r>
    </w:p>
    <w:p>
      <w:pPr>
        <w:spacing w:before="288"/>
        <w:ind w:left="369" w:right="0" w:firstLine="0"/>
        <w:jc w:val="left"/>
        <w:rPr>
          <w:sz w:val="30"/>
        </w:rPr>
      </w:pPr>
      <w:r>
        <w:rPr>
          <w:sz w:val="30"/>
        </w:rPr>
        <w:t>被授权人居民身份证复印件请按照要求粘贴：</w:t>
      </w:r>
    </w:p>
    <w:p>
      <w:pPr>
        <w:spacing w:before="189"/>
        <w:ind w:left="969" w:right="0" w:firstLine="0"/>
        <w:jc w:val="left"/>
        <w:rPr>
          <w:sz w:val="30"/>
        </w:rPr>
      </w:pPr>
      <w:r>
        <w:rPr>
          <w:sz w:val="30"/>
        </w:rPr>
        <w:t>请将居民身份证复印件剪裁后粘贴于虚线内。</w:t>
      </w:r>
    </w:p>
    <w:p>
      <w:pPr>
        <w:pStyle w:val="BodyText"/>
        <w:ind w:left="0"/>
        <w:rPr>
          <w:sz w:val="20"/>
        </w:rPr>
      </w:pPr>
    </w:p>
    <w:p>
      <w:pPr>
        <w:pStyle w:val="BodyText"/>
        <w:spacing w:before="6"/>
        <w:ind w:left="0"/>
        <w:rPr>
          <w:sz w:val="22"/>
        </w:rPr>
      </w:pPr>
      <w:r>
        <w:rPr/>
        <w:pict>
          <v:group style="position:absolute;margin-left:92.875pt;margin-top:16.38625pt;width:341.65pt;height:330.15pt;mso-position-horizontal-relative:page;mso-position-vertical-relative:paragraph;z-index:-160;mso-wrap-distance-left:0;mso-wrap-distance-right:0" coordorigin="1858,328" coordsize="6833,6603">
            <v:rect style="position:absolute;left:3208;top:335;width:5400;height:3053" filled="false" stroked="true" strokeweight=".75pt" strokecolor="#000000">
              <v:stroke dashstyle="shortdash"/>
            </v:rect>
            <v:shape style="position:absolute;left:3127;top:415;width:5564;height:2895" type="#_x0000_t75" stroked="false">
              <v:imagedata r:id="rId7" o:title=""/>
            </v:shape>
            <v:rect style="position:absolute;left:3208;top:3870;width:5400;height:3053" filled="false" stroked="true" strokeweight=".75pt" strokecolor="#000000">
              <v:stroke dashstyle="shortdash"/>
            </v:rect>
            <v:shape style="position:absolute;left:3127;top:3948;width:5564;height:2897" type="#_x0000_t75" stroked="false">
              <v:imagedata r:id="rId7" o:title=""/>
            </v:shape>
            <v:shape style="position:absolute;left:1865;top:2578;width:2160;height:2028" coordorigin="1865,2579" coordsize="2160,2028" path="m2945,2579l2868,2581,2792,2589,2718,2601,2646,2618,2576,2639,2508,2665,2442,2695,2379,2729,2319,2766,2262,2807,2207,2852,2156,2900,2109,2951,2065,3005,2025,3061,1989,3120,1957,3182,1930,3246,1907,3312,1889,3380,1876,3449,1868,3520,1865,3593,1868,3665,1876,3736,1889,3806,1907,3873,1930,3939,1957,4003,1989,4065,2025,4124,2065,4180,2109,4234,2156,4285,2207,4333,2262,4378,2319,4419,2379,4456,2442,4490,2508,4520,2576,4546,2646,4567,2718,4584,2792,4597,2868,4604,2945,4607,3022,4604,3098,4597,3172,4584,3244,4567,3314,4546,3382,4520,3448,4490,3511,4456,3571,4419,3628,4378,3683,4333,3734,4285,3781,4234,3825,4180,3865,4124,3901,4065,3933,4003,3960,3939,3983,3873,4001,3806,4014,3736,4022,3665,4025,3593,4022,3520,4014,3449,4001,3380,3983,3312,3960,3246,3933,3182,3901,3120,3865,3061,3825,3005,3781,2951,3734,2900,3683,2852,3628,2807,3571,2766,3511,2729,3448,2695,3382,2665,3314,2639,3244,2618,3172,2601,3098,2589,3022,2581,2945,2579xe" filled="true" fillcolor="#ffffff" stroked="false">
              <v:path arrowok="t"/>
              <v:fill type="solid"/>
            </v:shape>
            <v:shape style="position:absolute;left:1865;top:2578;width:2160;height:2028" coordorigin="1865,2579" coordsize="2160,2028" path="m1865,3593l1868,3520,1876,3449,1889,3380,1907,3312,1930,3246,1957,3182,1989,3120,2025,3061,2065,3005,2109,2951,2156,2900,2207,2852,2262,2807,2319,2766,2379,2729,2442,2695,2508,2665,2576,2639,2646,2618,2718,2601,2792,2589,2868,2581,2945,2579,3022,2581,3098,2589,3172,2601,3244,2618,3314,2639,3382,2665,3448,2695,3511,2729,3571,2766,3628,2807,3683,2852,3734,2900,3781,2951,3825,3005,3865,3061,3901,3120,3933,3182,3960,3246,3983,3312,4001,3380,4014,3449,4022,3520,4025,3593,4022,3665,4014,3736,4001,3806,3983,3873,3960,3939,3933,4003,3901,4065,3865,4124,3825,4180,3781,4234,3734,4285,3683,4333,3628,4378,3571,4419,3511,4456,3448,4490,3382,4520,3314,4546,3244,4567,3172,4584,3098,4597,3022,4604,2945,4607,2868,4604,2792,4597,2718,4584,2646,4567,2576,4546,2508,4520,2442,4490,2379,4456,2319,4419,2262,4378,2207,4333,2156,4285,2109,4234,2065,4180,2025,4124,1989,4065,1957,4003,1930,3939,1907,3873,1889,3806,1876,3736,1868,3665,1865,3593xe" filled="false" stroked="true" strokeweight=".75pt" strokecolor="#000000">
              <v:path arrowok="t"/>
              <v:stroke dashstyle="solid"/>
            </v:shape>
            <v:shape style="position:absolute;left:2160;top:2954;width:1570;height:1277" type="#_x0000_t75" stroked="false">
              <v:imagedata r:id="rId8" o:title=""/>
            </v:shape>
            <v:shape style="position:absolute;left:3361;top:941;width:4779;height:323" type="#_x0000_t202" filled="false" stroked="false">
              <v:textbox inset="0,0,0,0">
                <w:txbxContent>
                  <w:p>
                    <w:pPr>
                      <w:spacing w:line="321" w:lineRule="exact" w:before="0"/>
                      <w:ind w:left="0" w:right="0" w:firstLine="0"/>
                      <w:jc w:val="left"/>
                      <w:rPr>
                        <w:sz w:val="28"/>
                      </w:rPr>
                    </w:pPr>
                    <w:r>
                      <w:rPr>
                        <w:sz w:val="28"/>
                      </w:rPr>
                      <w:t>（被授权人居民身份证复印件粘贴处）</w:t>
                    </w:r>
                  </w:p>
                </w:txbxContent>
              </v:textbox>
              <w10:wrap type="none"/>
            </v:shape>
            <v:shape style="position:absolute;left:5629;top:1899;width:582;height:323" type="#_x0000_t202" filled="false" stroked="false">
              <v:textbox inset="0,0,0,0">
                <w:txbxContent>
                  <w:p>
                    <w:pPr>
                      <w:spacing w:line="321" w:lineRule="exact" w:before="0"/>
                      <w:ind w:left="0" w:right="0" w:firstLine="0"/>
                      <w:jc w:val="left"/>
                      <w:rPr>
                        <w:sz w:val="28"/>
                      </w:rPr>
                    </w:pPr>
                    <w:r>
                      <w:rPr>
                        <w:sz w:val="28"/>
                      </w:rPr>
                      <w:t>正面</w:t>
                    </w:r>
                  </w:p>
                </w:txbxContent>
              </v:textbox>
              <w10:wrap type="none"/>
            </v:shape>
            <v:shape style="position:absolute;left:2614;top:3243;width:632;height:741" type="#_x0000_t202" filled="false" stroked="false">
              <v:textbox inset="0,0,0,0">
                <w:txbxContent>
                  <w:p>
                    <w:pPr>
                      <w:spacing w:line="321" w:lineRule="exact" w:before="0"/>
                      <w:ind w:left="0" w:right="0" w:firstLine="0"/>
                      <w:jc w:val="left"/>
                      <w:rPr>
                        <w:sz w:val="28"/>
                      </w:rPr>
                    </w:pPr>
                    <w:r>
                      <w:rPr>
                        <w:sz w:val="28"/>
                      </w:rPr>
                      <w:t>企业</w:t>
                    </w:r>
                  </w:p>
                  <w:p>
                    <w:pPr>
                      <w:spacing w:before="59"/>
                      <w:ind w:left="50" w:right="0" w:firstLine="0"/>
                      <w:jc w:val="left"/>
                      <w:rPr>
                        <w:sz w:val="28"/>
                      </w:rPr>
                    </w:pPr>
                    <w:r>
                      <w:rPr>
                        <w:sz w:val="28"/>
                      </w:rPr>
                      <w:t>盖章</w:t>
                    </w:r>
                  </w:p>
                </w:txbxContent>
              </v:textbox>
              <w10:wrap type="none"/>
            </v:shape>
            <v:shape style="position:absolute;left:3529;top:4400;width:4779;height:323" type="#_x0000_t202" filled="false" stroked="false">
              <v:textbox inset="0,0,0,0">
                <w:txbxContent>
                  <w:p>
                    <w:pPr>
                      <w:spacing w:line="321" w:lineRule="exact" w:before="0"/>
                      <w:ind w:left="0" w:right="0" w:firstLine="0"/>
                      <w:jc w:val="left"/>
                      <w:rPr>
                        <w:sz w:val="28"/>
                      </w:rPr>
                    </w:pPr>
                    <w:r>
                      <w:rPr>
                        <w:sz w:val="28"/>
                      </w:rPr>
                      <w:t>（被授权人居民身份证复印件粘贴处）</w:t>
                    </w:r>
                  </w:p>
                </w:txbxContent>
              </v:textbox>
              <w10:wrap type="none"/>
            </v:shape>
            <v:shape style="position:absolute;left:5629;top:5476;width:582;height:323" type="#_x0000_t202" filled="false" stroked="false">
              <v:textbox inset="0,0,0,0">
                <w:txbxContent>
                  <w:p>
                    <w:pPr>
                      <w:spacing w:line="321" w:lineRule="exact" w:before="0"/>
                      <w:ind w:left="0" w:right="0" w:firstLine="0"/>
                      <w:jc w:val="left"/>
                      <w:rPr>
                        <w:sz w:val="28"/>
                      </w:rPr>
                    </w:pPr>
                    <w:r>
                      <w:rPr>
                        <w:sz w:val="28"/>
                      </w:rPr>
                      <w:t>反面</w:t>
                    </w:r>
                  </w:p>
                </w:txbxContent>
              </v:textbox>
              <w10:wrap type="none"/>
            </v:shape>
            <w10:wrap type="topAndBottom"/>
          </v:group>
        </w:pict>
      </w:r>
    </w:p>
    <w:p>
      <w:pPr>
        <w:pStyle w:val="BodyText"/>
        <w:spacing w:before="5"/>
        <w:ind w:left="0"/>
        <w:rPr>
          <w:sz w:val="46"/>
        </w:rPr>
      </w:pPr>
    </w:p>
    <w:p>
      <w:pPr>
        <w:spacing w:line="633" w:lineRule="auto" w:before="0"/>
        <w:ind w:left="369" w:right="5106" w:firstLine="0"/>
        <w:jc w:val="left"/>
        <w:rPr>
          <w:sz w:val="30"/>
        </w:rPr>
      </w:pPr>
      <w:r>
        <w:rPr>
          <w:sz w:val="30"/>
        </w:rPr>
        <w:t>注 ：                    1</w:t>
      </w:r>
      <w:r>
        <w:rPr>
          <w:spacing w:val="-2"/>
          <w:sz w:val="30"/>
        </w:rPr>
        <w:t>．同一投标企业只限授权一人</w:t>
      </w:r>
    </w:p>
    <w:p>
      <w:pPr>
        <w:spacing w:before="1"/>
        <w:ind w:left="369" w:right="0" w:firstLine="0"/>
        <w:jc w:val="left"/>
        <w:rPr>
          <w:sz w:val="30"/>
        </w:rPr>
      </w:pPr>
      <w:r>
        <w:rPr>
          <w:sz w:val="30"/>
        </w:rPr>
        <w:t>2．以上信息必须逐一填写，并与身份证复印件一致，否则无效。</w:t>
      </w:r>
    </w:p>
    <w:p>
      <w:pPr>
        <w:spacing w:after="0"/>
        <w:jc w:val="left"/>
        <w:rPr>
          <w:sz w:val="30"/>
        </w:rPr>
        <w:sectPr>
          <w:pgSz w:w="11910" w:h="16840"/>
          <w:pgMar w:header="0" w:footer="1302" w:top="1360" w:bottom="1500" w:left="1220" w:right="1160"/>
        </w:sectPr>
      </w:pPr>
    </w:p>
    <w:p>
      <w:pPr>
        <w:spacing w:before="49"/>
        <w:ind w:left="369" w:right="0" w:firstLine="0"/>
        <w:jc w:val="left"/>
        <w:rPr>
          <w:sz w:val="30"/>
        </w:rPr>
      </w:pPr>
      <w:r>
        <w:rPr>
          <w:sz w:val="32"/>
        </w:rPr>
        <w:t>附件 </w:t>
      </w:r>
      <w:r>
        <w:rPr>
          <w:rFonts w:ascii="Times New Roman" w:eastAsia="Times New Roman"/>
          <w:sz w:val="32"/>
        </w:rPr>
        <w:t>5-2</w:t>
      </w:r>
      <w:r>
        <w:rPr>
          <w:sz w:val="32"/>
        </w:rPr>
        <w:t>：</w:t>
      </w:r>
      <w:r>
        <w:rPr>
          <w:sz w:val="30"/>
        </w:rPr>
        <w:t>网上上传的企业资质文件说明</w:t>
      </w:r>
    </w:p>
    <w:p>
      <w:pPr>
        <w:pStyle w:val="BodyText"/>
        <w:spacing w:before="5"/>
        <w:ind w:left="0"/>
        <w:rPr>
          <w:sz w:val="42"/>
        </w:rPr>
      </w:pPr>
    </w:p>
    <w:p>
      <w:pPr>
        <w:pStyle w:val="ListParagraph"/>
        <w:numPr>
          <w:ilvl w:val="0"/>
          <w:numId w:val="2"/>
        </w:numPr>
        <w:tabs>
          <w:tab w:pos="1190" w:val="left" w:leader="none"/>
        </w:tabs>
        <w:spacing w:line="559" w:lineRule="auto" w:before="0" w:after="0"/>
        <w:ind w:left="369" w:right="428" w:firstLine="0"/>
        <w:jc w:val="left"/>
        <w:rPr>
          <w:sz w:val="30"/>
        </w:rPr>
      </w:pPr>
      <w:r>
        <w:rPr>
          <w:spacing w:val="23"/>
          <w:sz w:val="30"/>
        </w:rPr>
        <w:t>）</w:t>
      </w:r>
      <w:r>
        <w:rPr>
          <w:spacing w:val="21"/>
          <w:sz w:val="30"/>
        </w:rPr>
        <w:t>工商营业执照</w:t>
      </w:r>
      <w:r>
        <w:rPr>
          <w:spacing w:val="23"/>
          <w:sz w:val="30"/>
        </w:rPr>
        <w:t>（副本</w:t>
      </w:r>
      <w:r>
        <w:rPr>
          <w:spacing w:val="-128"/>
          <w:sz w:val="30"/>
        </w:rPr>
        <w:t>）</w:t>
      </w:r>
      <w:r>
        <w:rPr>
          <w:spacing w:val="23"/>
          <w:sz w:val="30"/>
        </w:rPr>
        <w:t>（</w:t>
      </w:r>
      <w:r>
        <w:rPr>
          <w:spacing w:val="21"/>
          <w:sz w:val="30"/>
        </w:rPr>
        <w:t>必须通过国家有关部门规定</w:t>
      </w:r>
      <w:r>
        <w:rPr>
          <w:spacing w:val="8"/>
          <w:sz w:val="30"/>
        </w:rPr>
        <w:t>的年检</w:t>
      </w:r>
      <w:r>
        <w:rPr>
          <w:spacing w:val="-152"/>
          <w:sz w:val="30"/>
        </w:rPr>
        <w:t>）</w:t>
      </w:r>
      <w:r>
        <w:rPr>
          <w:sz w:val="30"/>
        </w:rPr>
        <w:t>；</w:t>
      </w:r>
    </w:p>
    <w:p>
      <w:pPr>
        <w:pStyle w:val="ListParagraph"/>
        <w:numPr>
          <w:ilvl w:val="0"/>
          <w:numId w:val="2"/>
        </w:numPr>
        <w:tabs>
          <w:tab w:pos="1119" w:val="left" w:leader="none"/>
        </w:tabs>
        <w:spacing w:line="384" w:lineRule="exact" w:before="0" w:after="0"/>
        <w:ind w:left="1119" w:right="0" w:hanging="750"/>
        <w:jc w:val="left"/>
        <w:rPr>
          <w:sz w:val="30"/>
        </w:rPr>
      </w:pPr>
      <w:r>
        <w:rPr>
          <w:sz w:val="30"/>
        </w:rPr>
        <w:t>医疗器械生产企业许可证（</w:t>
      </w:r>
      <w:r>
        <w:rPr>
          <w:spacing w:val="1"/>
          <w:sz w:val="30"/>
        </w:rPr>
        <w:t>副本</w:t>
      </w:r>
      <w:r>
        <w:rPr>
          <w:spacing w:val="-152"/>
          <w:sz w:val="30"/>
        </w:rPr>
        <w:t>）</w:t>
      </w:r>
      <w:r>
        <w:rPr>
          <w:sz w:val="30"/>
        </w:rPr>
        <w:t>（必须在有效期内</w:t>
      </w:r>
      <w:r>
        <w:rPr>
          <w:spacing w:val="-152"/>
          <w:sz w:val="30"/>
        </w:rPr>
        <w:t>）</w:t>
      </w:r>
      <w:r>
        <w:rPr>
          <w:sz w:val="30"/>
        </w:rPr>
        <w:t>；</w:t>
      </w:r>
    </w:p>
    <w:p>
      <w:pPr>
        <w:pStyle w:val="BodyText"/>
        <w:spacing w:before="12"/>
        <w:ind w:left="0"/>
        <w:rPr>
          <w:sz w:val="39"/>
        </w:rPr>
      </w:pPr>
    </w:p>
    <w:p>
      <w:pPr>
        <w:pStyle w:val="ListParagraph"/>
        <w:numPr>
          <w:ilvl w:val="0"/>
          <w:numId w:val="2"/>
        </w:numPr>
        <w:tabs>
          <w:tab w:pos="1119" w:val="left" w:leader="none"/>
        </w:tabs>
        <w:spacing w:line="240" w:lineRule="auto" w:before="0" w:after="0"/>
        <w:ind w:left="1119" w:right="0" w:hanging="750"/>
        <w:jc w:val="left"/>
        <w:rPr>
          <w:sz w:val="30"/>
        </w:rPr>
      </w:pPr>
      <w:r>
        <w:rPr>
          <w:sz w:val="30"/>
        </w:rPr>
        <w:t>医疗器械经营企业许可证（</w:t>
      </w:r>
      <w:r>
        <w:rPr>
          <w:spacing w:val="1"/>
          <w:sz w:val="30"/>
        </w:rPr>
        <w:t>副本</w:t>
      </w:r>
      <w:r>
        <w:rPr>
          <w:spacing w:val="-152"/>
          <w:sz w:val="30"/>
        </w:rPr>
        <w:t>）</w:t>
      </w:r>
      <w:r>
        <w:rPr>
          <w:sz w:val="30"/>
        </w:rPr>
        <w:t>（必须在有效期内</w:t>
      </w:r>
      <w:r>
        <w:rPr>
          <w:spacing w:val="-152"/>
          <w:sz w:val="30"/>
        </w:rPr>
        <w:t>）</w:t>
      </w:r>
      <w:r>
        <w:rPr>
          <w:sz w:val="30"/>
        </w:rPr>
        <w:t>；</w:t>
      </w:r>
    </w:p>
    <w:p>
      <w:pPr>
        <w:pStyle w:val="BodyText"/>
        <w:spacing w:before="11"/>
        <w:ind w:left="0"/>
        <w:rPr>
          <w:sz w:val="39"/>
        </w:rPr>
      </w:pPr>
    </w:p>
    <w:p>
      <w:pPr>
        <w:pStyle w:val="ListParagraph"/>
        <w:numPr>
          <w:ilvl w:val="0"/>
          <w:numId w:val="2"/>
        </w:numPr>
        <w:tabs>
          <w:tab w:pos="1119" w:val="left" w:leader="none"/>
        </w:tabs>
        <w:spacing w:line="240" w:lineRule="auto" w:before="0" w:after="0"/>
        <w:ind w:left="1119" w:right="0" w:hanging="750"/>
        <w:jc w:val="left"/>
        <w:rPr>
          <w:sz w:val="30"/>
        </w:rPr>
      </w:pPr>
      <w:r>
        <w:rPr>
          <w:sz w:val="30"/>
        </w:rPr>
        <w:t>组织机构代码证（三证合一的企业无需提供</w:t>
      </w:r>
      <w:r>
        <w:rPr>
          <w:spacing w:val="-150"/>
          <w:sz w:val="30"/>
        </w:rPr>
        <w:t>）</w:t>
      </w:r>
      <w:r>
        <w:rPr>
          <w:sz w:val="30"/>
        </w:rPr>
        <w:t>；</w:t>
      </w:r>
    </w:p>
    <w:p>
      <w:pPr>
        <w:pStyle w:val="BodyText"/>
        <w:spacing w:before="11"/>
        <w:ind w:left="0"/>
        <w:rPr>
          <w:sz w:val="39"/>
        </w:rPr>
      </w:pPr>
    </w:p>
    <w:p>
      <w:pPr>
        <w:pStyle w:val="ListParagraph"/>
        <w:numPr>
          <w:ilvl w:val="0"/>
          <w:numId w:val="2"/>
        </w:numPr>
        <w:tabs>
          <w:tab w:pos="1119" w:val="left" w:leader="none"/>
        </w:tabs>
        <w:spacing w:line="240" w:lineRule="auto" w:before="0" w:after="0"/>
        <w:ind w:left="1119" w:right="0" w:hanging="750"/>
        <w:jc w:val="left"/>
        <w:rPr>
          <w:sz w:val="30"/>
        </w:rPr>
      </w:pPr>
      <w:r>
        <w:rPr>
          <w:sz w:val="30"/>
        </w:rPr>
        <w:t>国（境）外生产企业产品销售代理协议；</w:t>
      </w:r>
    </w:p>
    <w:p>
      <w:pPr>
        <w:pStyle w:val="BodyText"/>
        <w:spacing w:before="11"/>
        <w:ind w:left="0"/>
        <w:rPr>
          <w:sz w:val="39"/>
        </w:rPr>
      </w:pPr>
    </w:p>
    <w:p>
      <w:pPr>
        <w:pStyle w:val="ListParagraph"/>
        <w:numPr>
          <w:ilvl w:val="0"/>
          <w:numId w:val="2"/>
        </w:numPr>
        <w:tabs>
          <w:tab w:pos="1119" w:val="left" w:leader="none"/>
        </w:tabs>
        <w:spacing w:line="240" w:lineRule="auto" w:before="1" w:after="0"/>
        <w:ind w:left="1119" w:right="0" w:hanging="750"/>
        <w:jc w:val="left"/>
        <w:rPr>
          <w:sz w:val="30"/>
        </w:rPr>
      </w:pPr>
      <w:r>
        <w:rPr>
          <w:sz w:val="30"/>
        </w:rPr>
        <w:t>产品保证供应承诺书。</w:t>
      </w:r>
    </w:p>
    <w:p>
      <w:pPr>
        <w:pStyle w:val="BodyText"/>
        <w:spacing w:before="11"/>
        <w:ind w:left="0"/>
        <w:rPr>
          <w:sz w:val="39"/>
        </w:rPr>
      </w:pPr>
    </w:p>
    <w:p>
      <w:pPr>
        <w:pStyle w:val="ListParagraph"/>
        <w:numPr>
          <w:ilvl w:val="0"/>
          <w:numId w:val="2"/>
        </w:numPr>
        <w:tabs>
          <w:tab w:pos="1119" w:val="left" w:leader="none"/>
        </w:tabs>
        <w:spacing w:line="240" w:lineRule="auto" w:before="0" w:after="0"/>
        <w:ind w:left="1119" w:right="0" w:hanging="750"/>
        <w:jc w:val="left"/>
        <w:rPr>
          <w:sz w:val="30"/>
        </w:rPr>
      </w:pPr>
      <w:r>
        <w:rPr>
          <w:sz w:val="30"/>
        </w:rPr>
        <w:t>申报企业产品质量、货源及售后服务保证书。</w:t>
      </w:r>
    </w:p>
    <w:p>
      <w:pPr>
        <w:pStyle w:val="BodyText"/>
        <w:spacing w:before="11"/>
        <w:ind w:left="0"/>
        <w:rPr>
          <w:sz w:val="39"/>
        </w:rPr>
      </w:pPr>
    </w:p>
    <w:p>
      <w:pPr>
        <w:pStyle w:val="ListParagraph"/>
        <w:numPr>
          <w:ilvl w:val="0"/>
          <w:numId w:val="2"/>
        </w:numPr>
        <w:tabs>
          <w:tab w:pos="1119" w:val="left" w:leader="none"/>
        </w:tabs>
        <w:spacing w:line="240" w:lineRule="auto" w:before="0" w:after="0"/>
        <w:ind w:left="1119" w:right="0" w:hanging="750"/>
        <w:jc w:val="left"/>
        <w:rPr>
          <w:sz w:val="30"/>
        </w:rPr>
      </w:pPr>
      <w:r>
        <w:rPr>
          <w:sz w:val="30"/>
        </w:rPr>
        <w:t>其他文件</w:t>
      </w:r>
    </w:p>
    <w:p>
      <w:pPr>
        <w:spacing w:after="0" w:line="240" w:lineRule="auto"/>
        <w:jc w:val="left"/>
        <w:rPr>
          <w:sz w:val="30"/>
        </w:rPr>
        <w:sectPr>
          <w:pgSz w:w="11910" w:h="16840"/>
          <w:pgMar w:header="0" w:footer="1302" w:top="1420" w:bottom="1500" w:left="1220" w:right="1160"/>
        </w:sectPr>
      </w:pPr>
    </w:p>
    <w:p>
      <w:pPr>
        <w:pStyle w:val="BodyText"/>
        <w:spacing w:before="49"/>
      </w:pPr>
      <w:r>
        <w:rPr/>
        <w:t>附件 </w:t>
      </w:r>
      <w:r>
        <w:rPr>
          <w:rFonts w:ascii="Times New Roman" w:eastAsia="Times New Roman"/>
        </w:rPr>
        <w:t>5-3</w:t>
      </w:r>
      <w:r>
        <w:rPr/>
        <w:t>：</w:t>
      </w:r>
    </w:p>
    <w:p>
      <w:pPr>
        <w:pStyle w:val="BodyText"/>
        <w:ind w:left="0"/>
        <w:rPr>
          <w:sz w:val="20"/>
        </w:rPr>
      </w:pPr>
    </w:p>
    <w:p>
      <w:pPr>
        <w:pStyle w:val="BodyText"/>
        <w:spacing w:before="6"/>
        <w:ind w:left="0"/>
        <w:rPr>
          <w:sz w:val="22"/>
        </w:rPr>
      </w:pPr>
    </w:p>
    <w:p>
      <w:pPr>
        <w:spacing w:before="63"/>
        <w:ind w:left="3499" w:right="0" w:firstLine="0"/>
        <w:jc w:val="left"/>
        <w:rPr>
          <w:sz w:val="28"/>
        </w:rPr>
      </w:pPr>
      <w:r>
        <w:rPr>
          <w:sz w:val="28"/>
        </w:rPr>
        <w:t>产品保证供应承诺书</w:t>
      </w:r>
    </w:p>
    <w:p>
      <w:pPr>
        <w:pStyle w:val="BodyText"/>
        <w:spacing w:before="11"/>
        <w:ind w:left="0"/>
        <w:rPr>
          <w:sz w:val="41"/>
        </w:rPr>
      </w:pPr>
    </w:p>
    <w:p>
      <w:pPr>
        <w:spacing w:before="1"/>
        <w:ind w:left="369" w:right="0" w:firstLine="0"/>
        <w:jc w:val="left"/>
        <w:rPr>
          <w:sz w:val="30"/>
        </w:rPr>
      </w:pPr>
      <w:r>
        <w:rPr>
          <w:sz w:val="30"/>
        </w:rPr>
        <w:t>徐州市</w:t>
      </w:r>
      <w:r>
        <w:rPr>
          <w:color w:val="333333"/>
          <w:sz w:val="32"/>
        </w:rPr>
        <w:t>耗材集中采购办公室</w:t>
      </w:r>
      <w:r>
        <w:rPr>
          <w:sz w:val="30"/>
        </w:rPr>
        <w:t>：</w:t>
      </w:r>
    </w:p>
    <w:p>
      <w:pPr>
        <w:spacing w:line="420" w:lineRule="auto" w:before="301"/>
        <w:ind w:left="369" w:right="412" w:firstLine="599"/>
        <w:jc w:val="both"/>
        <w:rPr>
          <w:sz w:val="30"/>
        </w:rPr>
      </w:pPr>
      <w:r>
        <w:rPr>
          <w:spacing w:val="9"/>
          <w:w w:val="95"/>
          <w:sz w:val="30"/>
        </w:rPr>
        <w:t>为了规范行业行为</w:t>
      </w:r>
      <w:r>
        <w:rPr>
          <w:spacing w:val="7"/>
          <w:w w:val="80"/>
          <w:sz w:val="30"/>
        </w:rPr>
        <w:t>,</w:t>
      </w:r>
      <w:r>
        <w:rPr>
          <w:spacing w:val="9"/>
          <w:w w:val="95"/>
          <w:sz w:val="30"/>
        </w:rPr>
        <w:t>保证集中采购的医用耗材和检验检测试剂 </w:t>
      </w:r>
      <w:r>
        <w:rPr>
          <w:sz w:val="30"/>
        </w:rPr>
        <w:t>供应</w:t>
      </w:r>
      <w:r>
        <w:rPr>
          <w:w w:val="80"/>
          <w:sz w:val="30"/>
        </w:rPr>
        <w:t>,</w:t>
      </w:r>
      <w:r>
        <w:rPr>
          <w:sz w:val="30"/>
        </w:rPr>
        <w:t>确保临床使用的安全、经济、有效，本单位郑重承诺：</w:t>
      </w:r>
    </w:p>
    <w:p>
      <w:pPr>
        <w:spacing w:line="420" w:lineRule="auto" w:before="0"/>
        <w:ind w:left="369" w:right="412" w:firstLine="599"/>
        <w:jc w:val="both"/>
        <w:rPr>
          <w:sz w:val="30"/>
        </w:rPr>
      </w:pPr>
      <w:r>
        <w:rPr>
          <w:spacing w:val="9"/>
          <w:w w:val="95"/>
          <w:sz w:val="30"/>
        </w:rPr>
        <w:t>一、严格遵守国家医疗器械管理法律法规和相关条例</w:t>
      </w:r>
      <w:r>
        <w:rPr>
          <w:spacing w:val="7"/>
          <w:w w:val="80"/>
          <w:sz w:val="30"/>
        </w:rPr>
        <w:t>,</w:t>
      </w:r>
      <w:r>
        <w:rPr>
          <w:spacing w:val="9"/>
          <w:w w:val="95"/>
          <w:sz w:val="30"/>
        </w:rPr>
        <w:t>依法经 </w:t>
      </w:r>
      <w:r>
        <w:rPr>
          <w:sz w:val="30"/>
        </w:rPr>
        <w:t>营。</w:t>
      </w:r>
    </w:p>
    <w:p>
      <w:pPr>
        <w:spacing w:line="417" w:lineRule="auto" w:before="0"/>
        <w:ind w:left="369" w:right="415" w:firstLine="599"/>
        <w:jc w:val="both"/>
        <w:rPr>
          <w:sz w:val="30"/>
        </w:rPr>
      </w:pPr>
      <w:r>
        <w:rPr>
          <w:spacing w:val="5"/>
          <w:w w:val="95"/>
          <w:sz w:val="30"/>
        </w:rPr>
        <w:t>二、确保集中采购的医用耗材及试剂供应</w:t>
      </w:r>
      <w:r>
        <w:rPr>
          <w:spacing w:val="5"/>
          <w:w w:val="80"/>
          <w:sz w:val="30"/>
        </w:rPr>
        <w:t>,</w:t>
      </w:r>
      <w:r>
        <w:rPr>
          <w:spacing w:val="5"/>
          <w:w w:val="95"/>
          <w:sz w:val="30"/>
        </w:rPr>
        <w:t>执行采购价格</w:t>
      </w:r>
      <w:r>
        <w:rPr>
          <w:spacing w:val="5"/>
          <w:w w:val="80"/>
          <w:sz w:val="30"/>
        </w:rPr>
        <w:t>,</w:t>
      </w:r>
      <w:r>
        <w:rPr>
          <w:spacing w:val="7"/>
          <w:w w:val="95"/>
          <w:sz w:val="30"/>
        </w:rPr>
        <w:t>保证 </w:t>
      </w:r>
      <w:r>
        <w:rPr>
          <w:sz w:val="30"/>
        </w:rPr>
        <w:t>及时供货。</w:t>
      </w:r>
    </w:p>
    <w:p>
      <w:pPr>
        <w:spacing w:line="420" w:lineRule="auto" w:before="2"/>
        <w:ind w:left="369" w:right="426" w:firstLine="599"/>
        <w:jc w:val="both"/>
        <w:rPr>
          <w:sz w:val="30"/>
        </w:rPr>
      </w:pPr>
      <w:r>
        <w:rPr>
          <w:spacing w:val="9"/>
          <w:w w:val="95"/>
          <w:sz w:val="30"/>
        </w:rPr>
        <w:t>三、保证医用耗材及试剂质量</w:t>
      </w:r>
      <w:r>
        <w:rPr>
          <w:spacing w:val="7"/>
          <w:w w:val="80"/>
          <w:sz w:val="30"/>
        </w:rPr>
        <w:t>,</w:t>
      </w:r>
      <w:r>
        <w:rPr>
          <w:spacing w:val="8"/>
          <w:w w:val="95"/>
          <w:sz w:val="30"/>
        </w:rPr>
        <w:t>确保临床使用安全。若供应中 </w:t>
      </w:r>
      <w:r>
        <w:rPr>
          <w:spacing w:val="18"/>
          <w:w w:val="95"/>
          <w:sz w:val="30"/>
        </w:rPr>
        <w:t>出现假冒伪劣产品</w:t>
      </w:r>
      <w:r>
        <w:rPr>
          <w:spacing w:val="19"/>
          <w:w w:val="80"/>
          <w:sz w:val="30"/>
        </w:rPr>
        <w:t>,</w:t>
      </w:r>
      <w:r>
        <w:rPr>
          <w:spacing w:val="17"/>
          <w:w w:val="95"/>
          <w:sz w:val="30"/>
        </w:rPr>
        <w:t>自愿承担一切经济损失并承担相应的法律责 </w:t>
      </w:r>
      <w:r>
        <w:rPr>
          <w:spacing w:val="17"/>
          <w:sz w:val="30"/>
        </w:rPr>
        <w:t>任。</w:t>
      </w:r>
    </w:p>
    <w:p>
      <w:pPr>
        <w:spacing w:line="420" w:lineRule="auto" w:before="0"/>
        <w:ind w:left="369" w:right="426" w:firstLine="599"/>
        <w:jc w:val="both"/>
        <w:rPr>
          <w:sz w:val="30"/>
        </w:rPr>
      </w:pPr>
      <w:r>
        <w:rPr>
          <w:spacing w:val="14"/>
          <w:w w:val="95"/>
          <w:sz w:val="30"/>
        </w:rPr>
        <w:t>四、恪守职业道德</w:t>
      </w:r>
      <w:r>
        <w:rPr>
          <w:spacing w:val="14"/>
          <w:w w:val="80"/>
          <w:sz w:val="30"/>
        </w:rPr>
        <w:t>,</w:t>
      </w:r>
      <w:r>
        <w:rPr>
          <w:spacing w:val="14"/>
          <w:w w:val="95"/>
          <w:sz w:val="30"/>
        </w:rPr>
        <w:t>坚持诚信为本</w:t>
      </w:r>
      <w:r>
        <w:rPr>
          <w:spacing w:val="12"/>
          <w:w w:val="80"/>
          <w:sz w:val="30"/>
        </w:rPr>
        <w:t>,</w:t>
      </w:r>
      <w:r>
        <w:rPr>
          <w:spacing w:val="14"/>
          <w:w w:val="95"/>
          <w:sz w:val="30"/>
        </w:rPr>
        <w:t>加强行业自律</w:t>
      </w:r>
      <w:r>
        <w:rPr>
          <w:spacing w:val="12"/>
          <w:w w:val="80"/>
          <w:sz w:val="30"/>
        </w:rPr>
        <w:t>,</w:t>
      </w:r>
      <w:r>
        <w:rPr>
          <w:spacing w:val="11"/>
          <w:w w:val="95"/>
          <w:sz w:val="30"/>
        </w:rPr>
        <w:t>规范经营行</w:t>
      </w:r>
      <w:r>
        <w:rPr>
          <w:spacing w:val="11"/>
          <w:sz w:val="30"/>
        </w:rPr>
        <w:t>为。</w:t>
      </w:r>
    </w:p>
    <w:p>
      <w:pPr>
        <w:spacing w:line="420" w:lineRule="auto" w:before="0"/>
        <w:ind w:left="369" w:right="412" w:firstLine="599"/>
        <w:jc w:val="both"/>
        <w:rPr>
          <w:sz w:val="30"/>
        </w:rPr>
      </w:pPr>
      <w:r>
        <w:rPr>
          <w:spacing w:val="9"/>
          <w:w w:val="95"/>
          <w:sz w:val="30"/>
        </w:rPr>
        <w:t>五、营造公开、公平、公正的市场竞争环境</w:t>
      </w:r>
      <w:r>
        <w:rPr>
          <w:spacing w:val="10"/>
          <w:w w:val="80"/>
          <w:sz w:val="30"/>
        </w:rPr>
        <w:t>,</w:t>
      </w:r>
      <w:r>
        <w:rPr>
          <w:spacing w:val="9"/>
          <w:w w:val="95"/>
          <w:sz w:val="30"/>
        </w:rPr>
        <w:t>保证经营活动中 </w:t>
      </w:r>
      <w:r>
        <w:rPr>
          <w:sz w:val="30"/>
        </w:rPr>
        <w:t>不作任何形式的商业贿赂行为。</w:t>
      </w:r>
    </w:p>
    <w:p>
      <w:pPr>
        <w:spacing w:line="417" w:lineRule="auto" w:before="0"/>
        <w:ind w:left="369" w:right="428" w:firstLine="599"/>
        <w:jc w:val="both"/>
        <w:rPr>
          <w:sz w:val="30"/>
        </w:rPr>
      </w:pPr>
      <w:r>
        <w:rPr>
          <w:spacing w:val="9"/>
          <w:w w:val="95"/>
          <w:sz w:val="30"/>
        </w:rPr>
        <w:t>六、如违反以上承诺</w:t>
      </w:r>
      <w:r>
        <w:rPr>
          <w:spacing w:val="7"/>
          <w:w w:val="80"/>
          <w:sz w:val="30"/>
        </w:rPr>
        <w:t>,</w:t>
      </w:r>
      <w:r>
        <w:rPr>
          <w:spacing w:val="8"/>
          <w:w w:val="95"/>
          <w:sz w:val="30"/>
        </w:rPr>
        <w:t>同意按相关规定处理或终止合同。涉及 </w:t>
      </w:r>
      <w:r>
        <w:rPr>
          <w:spacing w:val="8"/>
          <w:sz w:val="30"/>
        </w:rPr>
        <w:t>违纪违法问题</w:t>
      </w:r>
      <w:r>
        <w:rPr>
          <w:spacing w:val="8"/>
          <w:w w:val="80"/>
          <w:sz w:val="30"/>
        </w:rPr>
        <w:t>,</w:t>
      </w:r>
      <w:r>
        <w:rPr>
          <w:spacing w:val="8"/>
          <w:sz w:val="30"/>
        </w:rPr>
        <w:t>自愿承担一切法律责任。</w:t>
      </w:r>
    </w:p>
    <w:p>
      <w:pPr>
        <w:spacing w:after="0" w:line="417" w:lineRule="auto"/>
        <w:jc w:val="both"/>
        <w:rPr>
          <w:sz w:val="30"/>
        </w:rPr>
        <w:sectPr>
          <w:pgSz w:w="11910" w:h="16840"/>
          <w:pgMar w:header="0" w:footer="1302" w:top="1420" w:bottom="1500" w:left="1220" w:right="1160"/>
        </w:sectPr>
      </w:pPr>
    </w:p>
    <w:p>
      <w:pPr>
        <w:spacing w:before="47"/>
        <w:ind w:left="527" w:right="14" w:firstLine="0"/>
        <w:jc w:val="center"/>
        <w:rPr>
          <w:sz w:val="30"/>
        </w:rPr>
      </w:pPr>
      <w:r>
        <w:rPr>
          <w:sz w:val="30"/>
        </w:rPr>
        <w:t>承诺单位：</w:t>
      </w:r>
    </w:p>
    <w:p>
      <w:pPr>
        <w:spacing w:before="288"/>
        <w:ind w:left="1398" w:right="585" w:firstLine="0"/>
        <w:jc w:val="center"/>
        <w:rPr>
          <w:sz w:val="30"/>
        </w:rPr>
      </w:pPr>
      <w:r>
        <w:rPr>
          <w:sz w:val="30"/>
        </w:rPr>
        <w:t>（加盖公章）</w:t>
      </w:r>
    </w:p>
    <w:p>
      <w:pPr>
        <w:tabs>
          <w:tab w:pos="595" w:val="left" w:leader="none"/>
          <w:tab w:pos="1190" w:val="left" w:leader="none"/>
        </w:tabs>
        <w:spacing w:before="285"/>
        <w:ind w:left="0" w:right="1022" w:firstLine="0"/>
        <w:jc w:val="right"/>
        <w:rPr>
          <w:sz w:val="30"/>
        </w:rPr>
      </w:pPr>
      <w:r>
        <w:rPr>
          <w:sz w:val="30"/>
        </w:rPr>
        <w:t>年</w:t>
        <w:tab/>
        <w:t>月</w:t>
        <w:tab/>
        <w:t>日</w:t>
      </w:r>
    </w:p>
    <w:p>
      <w:pPr>
        <w:spacing w:after="0"/>
        <w:jc w:val="right"/>
        <w:rPr>
          <w:sz w:val="30"/>
        </w:rPr>
        <w:sectPr>
          <w:pgSz w:w="11910" w:h="16840"/>
          <w:pgMar w:header="0" w:footer="1302" w:top="1420" w:bottom="1500" w:left="1220" w:right="1160"/>
        </w:sectPr>
      </w:pPr>
    </w:p>
    <w:p>
      <w:pPr>
        <w:pStyle w:val="BodyText"/>
        <w:spacing w:before="49"/>
      </w:pPr>
      <w:r>
        <w:rPr/>
        <w:t>附件 </w:t>
      </w:r>
      <w:r>
        <w:rPr>
          <w:rFonts w:ascii="Times New Roman" w:eastAsia="Times New Roman"/>
        </w:rPr>
        <w:t>5-4</w:t>
      </w:r>
      <w:r>
        <w:rPr/>
        <w:t>：</w:t>
      </w:r>
    </w:p>
    <w:p>
      <w:pPr>
        <w:pStyle w:val="BodyText"/>
        <w:spacing w:before="4"/>
        <w:ind w:left="0"/>
        <w:rPr>
          <w:sz w:val="47"/>
        </w:rPr>
      </w:pPr>
    </w:p>
    <w:p>
      <w:pPr>
        <w:spacing w:line="559" w:lineRule="auto" w:before="1"/>
        <w:ind w:left="2100" w:right="1406" w:hanging="702"/>
        <w:jc w:val="left"/>
        <w:rPr>
          <w:sz w:val="28"/>
        </w:rPr>
      </w:pPr>
      <w:r>
        <w:rPr>
          <w:sz w:val="28"/>
        </w:rPr>
        <w:t>徐州市医疗卫生机构医用耗材和检验检测试剂集中采购申报企业产品质量、货源及售后服务保证书</w:t>
      </w:r>
    </w:p>
    <w:p>
      <w:pPr>
        <w:spacing w:before="59"/>
        <w:ind w:left="369" w:right="0" w:firstLine="0"/>
        <w:jc w:val="left"/>
        <w:rPr>
          <w:sz w:val="30"/>
        </w:rPr>
      </w:pPr>
      <w:r>
        <w:rPr>
          <w:sz w:val="30"/>
        </w:rPr>
        <w:t>徐州市</w:t>
      </w:r>
      <w:r>
        <w:rPr>
          <w:color w:val="333333"/>
          <w:sz w:val="32"/>
        </w:rPr>
        <w:t>耗材集中采购办公室</w:t>
      </w:r>
      <w:r>
        <w:rPr>
          <w:sz w:val="30"/>
        </w:rPr>
        <w:t>：</w:t>
      </w:r>
    </w:p>
    <w:p>
      <w:pPr>
        <w:tabs>
          <w:tab w:pos="5520" w:val="left" w:leader="none"/>
        </w:tabs>
        <w:spacing w:line="420" w:lineRule="auto" w:before="304"/>
        <w:ind w:left="369" w:right="454" w:firstLine="599"/>
        <w:jc w:val="left"/>
        <w:rPr>
          <w:sz w:val="30"/>
        </w:rPr>
      </w:pPr>
      <w:r>
        <w:rPr>
          <w:sz w:val="30"/>
        </w:rPr>
        <w:t>作为生产（代理）企</w:t>
      </w:r>
      <w:r>
        <w:rPr>
          <w:spacing w:val="3"/>
          <w:sz w:val="30"/>
        </w:rPr>
        <w:t>业</w:t>
      </w:r>
      <w:r>
        <w:rPr>
          <w:rFonts w:ascii="Times New Roman" w:eastAsia="Times New Roman"/>
          <w:sz w:val="30"/>
          <w:u w:val="single"/>
        </w:rPr>
        <w:t> </w:t>
        <w:tab/>
      </w:r>
      <w:r>
        <w:rPr>
          <w:sz w:val="30"/>
        </w:rPr>
        <w:t>（企业名</w:t>
      </w:r>
      <w:r>
        <w:rPr>
          <w:spacing w:val="3"/>
          <w:sz w:val="30"/>
        </w:rPr>
        <w:t>称</w:t>
      </w:r>
      <w:r>
        <w:rPr>
          <w:spacing w:val="-152"/>
          <w:sz w:val="30"/>
        </w:rPr>
        <w:t>）</w:t>
      </w:r>
      <w:r>
        <w:rPr>
          <w:sz w:val="30"/>
        </w:rPr>
        <w:t>，我公司以生产（代理）的产品参与徐州市医疗卫生机构医用耗材和检验检测</w:t>
      </w:r>
      <w:r>
        <w:rPr>
          <w:spacing w:val="-17"/>
          <w:sz w:val="30"/>
        </w:rPr>
        <w:t>试</w:t>
      </w:r>
      <w:r>
        <w:rPr>
          <w:sz w:val="30"/>
        </w:rPr>
        <w:t>剂集中采购。我公司保证：根据《徐州市医疗卫生机构医用耗材</w:t>
      </w:r>
      <w:r>
        <w:rPr>
          <w:spacing w:val="-17"/>
          <w:sz w:val="30"/>
        </w:rPr>
        <w:t>和</w:t>
      </w:r>
      <w:r>
        <w:rPr>
          <w:sz w:val="30"/>
        </w:rPr>
        <w:t>检验检测试剂集中采购文件</w:t>
      </w:r>
      <w:r>
        <w:rPr>
          <w:spacing w:val="-152"/>
          <w:sz w:val="30"/>
        </w:rPr>
        <w:t>》</w:t>
      </w:r>
      <w:r>
        <w:rPr>
          <w:sz w:val="30"/>
        </w:rPr>
        <w:t>（编号</w:t>
      </w:r>
      <w:r>
        <w:rPr>
          <w:spacing w:val="-32"/>
          <w:sz w:val="30"/>
        </w:rPr>
        <w:t> </w:t>
      </w:r>
      <w:r>
        <w:rPr>
          <w:sz w:val="30"/>
        </w:rPr>
        <w:t>XZHCJZYGCG-2017）的规</w:t>
      </w:r>
    </w:p>
    <w:p>
      <w:pPr>
        <w:tabs>
          <w:tab w:pos="4634" w:val="left" w:leader="none"/>
          <w:tab w:pos="5232" w:val="left" w:leader="none"/>
        </w:tabs>
        <w:spacing w:line="420" w:lineRule="auto" w:before="0"/>
        <w:ind w:left="369" w:right="454" w:firstLine="0"/>
        <w:jc w:val="left"/>
        <w:rPr>
          <w:sz w:val="30"/>
        </w:rPr>
      </w:pPr>
      <w:r>
        <w:rPr>
          <w:sz w:val="30"/>
        </w:rPr>
        <w:t>定，上述产品的生产标准达到产品执行标准；在采购期内向采购</w:t>
      </w:r>
      <w:r>
        <w:rPr>
          <w:spacing w:val="-17"/>
          <w:sz w:val="30"/>
        </w:rPr>
        <w:t>人</w:t>
      </w:r>
      <w:r>
        <w:rPr>
          <w:sz w:val="30"/>
        </w:rPr>
        <w:t>及时地提供充足的货源并提供售后服务，若采购期限延期，本承</w:t>
      </w:r>
      <w:r>
        <w:rPr>
          <w:spacing w:val="-17"/>
          <w:sz w:val="30"/>
        </w:rPr>
        <w:t>诺</w:t>
      </w:r>
      <w:r>
        <w:rPr>
          <w:sz w:val="30"/>
        </w:rPr>
        <w:t>期限自动顺延到采购期限届满。如有违反，依法承担违约责任。 本保证书有效期限为：2018</w:t>
      </w:r>
      <w:r>
        <w:rPr>
          <w:spacing w:val="-80"/>
          <w:sz w:val="30"/>
        </w:rPr>
        <w:t> </w:t>
      </w:r>
      <w:r>
        <w:rPr>
          <w:sz w:val="30"/>
        </w:rPr>
        <w:t>年</w:t>
      </w:r>
      <w:r>
        <w:rPr>
          <w:sz w:val="30"/>
          <w:u w:val="single"/>
        </w:rPr>
        <w:t> </w:t>
        <w:tab/>
      </w:r>
      <w:r>
        <w:rPr>
          <w:sz w:val="30"/>
        </w:rPr>
        <w:t>月</w:t>
      </w:r>
      <w:r>
        <w:rPr>
          <w:sz w:val="30"/>
          <w:u w:val="single"/>
        </w:rPr>
        <w:t> </w:t>
        <w:tab/>
      </w:r>
      <w:r>
        <w:rPr>
          <w:sz w:val="30"/>
        </w:rPr>
        <w:t>日至采购周期结束。</w:t>
      </w:r>
    </w:p>
    <w:p>
      <w:pPr>
        <w:spacing w:line="380" w:lineRule="exact" w:before="0"/>
        <w:ind w:left="369" w:right="0" w:firstLine="0"/>
        <w:jc w:val="left"/>
        <w:rPr>
          <w:sz w:val="30"/>
        </w:rPr>
      </w:pPr>
      <w:r>
        <w:rPr>
          <w:spacing w:val="-1"/>
          <w:sz w:val="30"/>
        </w:rPr>
        <w:t>申报企业名称</w:t>
      </w:r>
      <w:r>
        <w:rPr>
          <w:sz w:val="30"/>
        </w:rPr>
        <w:t>（加盖公章</w:t>
      </w:r>
      <w:r>
        <w:rPr>
          <w:spacing w:val="-152"/>
          <w:sz w:val="30"/>
        </w:rPr>
        <w:t>）</w:t>
      </w:r>
      <w:r>
        <w:rPr>
          <w:sz w:val="30"/>
        </w:rPr>
        <w:t>：</w:t>
      </w:r>
    </w:p>
    <w:p>
      <w:pPr>
        <w:tabs>
          <w:tab w:pos="2534" w:val="left" w:leader="none"/>
          <w:tab w:pos="3129" w:val="left" w:leader="none"/>
        </w:tabs>
        <w:spacing w:line="417" w:lineRule="auto" w:before="283"/>
        <w:ind w:left="369" w:right="4503" w:firstLine="0"/>
        <w:jc w:val="left"/>
        <w:rPr>
          <w:sz w:val="30"/>
        </w:rPr>
      </w:pPr>
      <w:r>
        <w:rPr>
          <w:sz w:val="30"/>
        </w:rPr>
        <w:t>企业负责</w:t>
      </w:r>
      <w:r>
        <w:rPr>
          <w:spacing w:val="-1"/>
          <w:sz w:val="30"/>
        </w:rPr>
        <w:t>人</w:t>
      </w:r>
      <w:r>
        <w:rPr>
          <w:sz w:val="30"/>
        </w:rPr>
        <w:t>或委托授权人（签</w:t>
      </w:r>
      <w:r>
        <w:rPr>
          <w:spacing w:val="2"/>
          <w:sz w:val="30"/>
        </w:rPr>
        <w:t>字</w:t>
      </w:r>
      <w:r>
        <w:rPr>
          <w:spacing w:val="-160"/>
          <w:sz w:val="30"/>
        </w:rPr>
        <w:t>）</w:t>
      </w:r>
      <w:r>
        <w:rPr>
          <w:spacing w:val="-15"/>
          <w:sz w:val="30"/>
        </w:rPr>
        <w:t>：</w:t>
      </w:r>
      <w:r>
        <w:rPr>
          <w:sz w:val="30"/>
        </w:rPr>
        <w:t>日期：2018</w:t>
      </w:r>
      <w:r>
        <w:rPr>
          <w:spacing w:val="-81"/>
          <w:sz w:val="30"/>
        </w:rPr>
        <w:t> </w:t>
      </w:r>
      <w:r>
        <w:rPr>
          <w:spacing w:val="3"/>
          <w:sz w:val="30"/>
        </w:rPr>
        <w:t>年</w:t>
      </w:r>
      <w:r>
        <w:rPr>
          <w:spacing w:val="3"/>
          <w:sz w:val="30"/>
          <w:u w:val="single"/>
        </w:rPr>
        <w:t> </w:t>
        <w:tab/>
      </w:r>
      <w:r>
        <w:rPr>
          <w:sz w:val="30"/>
        </w:rPr>
        <w:t>月</w:t>
      </w:r>
      <w:r>
        <w:rPr>
          <w:sz w:val="30"/>
          <w:u w:val="single"/>
        </w:rPr>
        <w:t> </w:t>
        <w:tab/>
      </w:r>
      <w:r>
        <w:rPr>
          <w:sz w:val="30"/>
        </w:rPr>
        <w:t>日</w:t>
      </w:r>
    </w:p>
    <w:p>
      <w:pPr>
        <w:spacing w:after="0" w:line="417" w:lineRule="auto"/>
        <w:jc w:val="left"/>
        <w:rPr>
          <w:sz w:val="30"/>
        </w:rPr>
        <w:sectPr>
          <w:pgSz w:w="11910" w:h="16840"/>
          <w:pgMar w:header="0" w:footer="1302" w:top="1420" w:bottom="1500" w:left="1220" w:right="1160"/>
        </w:sectPr>
      </w:pPr>
    </w:p>
    <w:p>
      <w:pPr>
        <w:spacing w:before="49"/>
        <w:ind w:left="369" w:right="0" w:firstLine="0"/>
        <w:jc w:val="both"/>
        <w:rPr>
          <w:sz w:val="30"/>
        </w:rPr>
      </w:pPr>
      <w:r>
        <w:rPr>
          <w:sz w:val="32"/>
        </w:rPr>
        <w:t>附件 </w:t>
      </w:r>
      <w:r>
        <w:rPr>
          <w:rFonts w:ascii="Times New Roman" w:eastAsia="Times New Roman"/>
          <w:sz w:val="32"/>
        </w:rPr>
        <w:t>5-5</w:t>
      </w:r>
      <w:r>
        <w:rPr>
          <w:sz w:val="32"/>
        </w:rPr>
        <w:t>：</w:t>
      </w:r>
      <w:r>
        <w:rPr>
          <w:sz w:val="30"/>
        </w:rPr>
        <w:t>网上上传的产品资质文件说明</w:t>
      </w:r>
    </w:p>
    <w:p>
      <w:pPr>
        <w:pStyle w:val="BodyText"/>
        <w:spacing w:before="1"/>
        <w:ind w:left="0"/>
        <w:rPr>
          <w:sz w:val="47"/>
        </w:rPr>
      </w:pPr>
    </w:p>
    <w:p>
      <w:pPr>
        <w:pStyle w:val="ListParagraph"/>
        <w:numPr>
          <w:ilvl w:val="1"/>
          <w:numId w:val="2"/>
        </w:numPr>
        <w:tabs>
          <w:tab w:pos="1722" w:val="left" w:leader="none"/>
        </w:tabs>
        <w:spacing w:line="240" w:lineRule="auto" w:before="0" w:after="0"/>
        <w:ind w:left="1721" w:right="0" w:hanging="752"/>
        <w:jc w:val="left"/>
        <w:rPr>
          <w:sz w:val="30"/>
        </w:rPr>
      </w:pPr>
      <w:r>
        <w:rPr>
          <w:sz w:val="30"/>
        </w:rPr>
        <w:t>《医疗器械注册证》及附页；</w:t>
      </w:r>
    </w:p>
    <w:p>
      <w:pPr>
        <w:pStyle w:val="BodyText"/>
        <w:spacing w:before="11"/>
        <w:ind w:left="0"/>
        <w:rPr>
          <w:sz w:val="39"/>
        </w:rPr>
      </w:pPr>
    </w:p>
    <w:p>
      <w:pPr>
        <w:pStyle w:val="ListParagraph"/>
        <w:numPr>
          <w:ilvl w:val="1"/>
          <w:numId w:val="2"/>
        </w:numPr>
        <w:tabs>
          <w:tab w:pos="1719" w:val="left" w:leader="none"/>
        </w:tabs>
        <w:spacing w:line="240" w:lineRule="auto" w:before="0" w:after="0"/>
        <w:ind w:left="1719" w:right="0" w:hanging="750"/>
        <w:jc w:val="left"/>
        <w:rPr>
          <w:sz w:val="30"/>
        </w:rPr>
      </w:pPr>
      <w:r>
        <w:rPr>
          <w:sz w:val="30"/>
        </w:rPr>
        <w:t>产品说明书扫描件；</w:t>
      </w:r>
    </w:p>
    <w:p>
      <w:pPr>
        <w:pStyle w:val="BodyText"/>
        <w:spacing w:before="11"/>
        <w:ind w:left="0"/>
        <w:rPr>
          <w:sz w:val="39"/>
        </w:rPr>
      </w:pPr>
    </w:p>
    <w:p>
      <w:pPr>
        <w:pStyle w:val="ListParagraph"/>
        <w:numPr>
          <w:ilvl w:val="1"/>
          <w:numId w:val="2"/>
        </w:numPr>
        <w:tabs>
          <w:tab w:pos="1719" w:val="left" w:leader="none"/>
        </w:tabs>
        <w:spacing w:line="240" w:lineRule="auto" w:before="1" w:after="0"/>
        <w:ind w:left="1719" w:right="0" w:hanging="750"/>
        <w:jc w:val="left"/>
        <w:rPr>
          <w:sz w:val="30"/>
        </w:rPr>
      </w:pPr>
      <w:r>
        <w:rPr>
          <w:sz w:val="30"/>
        </w:rPr>
        <w:t>产品近距实物照片；</w:t>
      </w:r>
    </w:p>
    <w:p>
      <w:pPr>
        <w:pStyle w:val="BodyText"/>
        <w:spacing w:before="3"/>
        <w:ind w:left="0"/>
        <w:rPr>
          <w:sz w:val="39"/>
        </w:rPr>
      </w:pPr>
    </w:p>
    <w:p>
      <w:pPr>
        <w:pStyle w:val="BodyText"/>
        <w:ind w:left="1010"/>
        <w:rPr>
          <w:rFonts w:ascii="仿宋" w:eastAsia="仿宋" w:hint="eastAsia"/>
        </w:rPr>
      </w:pPr>
      <w:r>
        <w:rPr>
          <w:rFonts w:ascii="仿宋" w:eastAsia="仿宋" w:hint="eastAsia"/>
        </w:rPr>
        <w:t>（</w:t>
      </w:r>
      <w:r>
        <w:rPr>
          <w:rFonts w:ascii="Times New Roman" w:eastAsia="Times New Roman"/>
        </w:rPr>
        <w:t>4</w:t>
      </w:r>
      <w:r>
        <w:rPr>
          <w:rFonts w:ascii="仿宋" w:eastAsia="仿宋" w:hint="eastAsia"/>
        </w:rPr>
        <w:t>）</w:t>
      </w:r>
      <w:r>
        <w:rPr>
          <w:rFonts w:ascii="Times New Roman" w:eastAsia="Times New Roman"/>
        </w:rPr>
        <w:t>2015 </w:t>
      </w:r>
      <w:r>
        <w:rPr>
          <w:rFonts w:ascii="仿宋" w:eastAsia="仿宋" w:hint="eastAsia"/>
        </w:rPr>
        <w:t>年以来产品检测报告；</w:t>
      </w:r>
    </w:p>
    <w:p>
      <w:pPr>
        <w:pStyle w:val="BodyText"/>
        <w:spacing w:before="6"/>
        <w:ind w:left="0"/>
        <w:rPr>
          <w:rFonts w:ascii="仿宋"/>
          <w:sz w:val="33"/>
        </w:rPr>
      </w:pPr>
    </w:p>
    <w:p>
      <w:pPr>
        <w:spacing w:before="0"/>
        <w:ind w:left="969" w:right="0" w:firstLine="0"/>
        <w:jc w:val="left"/>
        <w:rPr>
          <w:sz w:val="30"/>
        </w:rPr>
      </w:pPr>
      <w:r>
        <w:rPr>
          <w:sz w:val="30"/>
        </w:rPr>
        <w:t>（5）产品价格信息及对应证明文件；</w:t>
      </w:r>
    </w:p>
    <w:p>
      <w:pPr>
        <w:pStyle w:val="BodyText"/>
        <w:spacing w:before="12"/>
        <w:ind w:left="0"/>
        <w:rPr>
          <w:sz w:val="43"/>
        </w:rPr>
      </w:pPr>
    </w:p>
    <w:p>
      <w:pPr>
        <w:pStyle w:val="BodyText"/>
        <w:spacing w:line="530" w:lineRule="auto"/>
        <w:ind w:right="428" w:firstLine="599"/>
        <w:rPr>
          <w:rFonts w:ascii="仿宋" w:eastAsia="仿宋" w:hint="eastAsia"/>
        </w:rPr>
      </w:pPr>
      <w:r>
        <w:rPr>
          <w:sz w:val="30"/>
        </w:rPr>
        <w:t>（6）</w:t>
      </w:r>
      <w:r>
        <w:rPr>
          <w:rFonts w:ascii="Times New Roman" w:eastAsia="Times New Roman"/>
        </w:rPr>
        <w:t>2015 </w:t>
      </w:r>
      <w:r>
        <w:rPr>
          <w:rFonts w:ascii="仿宋" w:eastAsia="仿宋" w:hint="eastAsia"/>
        </w:rPr>
        <w:t>年以来产品在江苏省辖市、外省及外省城市中标情况等资格证明文件；</w:t>
      </w:r>
    </w:p>
    <w:p>
      <w:pPr>
        <w:pStyle w:val="ListParagraph"/>
        <w:numPr>
          <w:ilvl w:val="0"/>
          <w:numId w:val="3"/>
        </w:numPr>
        <w:tabs>
          <w:tab w:pos="1812" w:val="left" w:leader="none"/>
        </w:tabs>
        <w:spacing w:line="345" w:lineRule="exact" w:before="0" w:after="0"/>
        <w:ind w:left="1811" w:right="0" w:hanging="801"/>
        <w:jc w:val="left"/>
        <w:rPr>
          <w:rFonts w:ascii="仿宋" w:eastAsia="仿宋" w:hint="eastAsia"/>
          <w:sz w:val="30"/>
        </w:rPr>
      </w:pPr>
      <w:r>
        <w:rPr>
          <w:spacing w:val="-11"/>
          <w:w w:val="105"/>
          <w:sz w:val="32"/>
        </w:rPr>
        <w:t>通过美国 </w:t>
      </w:r>
      <w:r>
        <w:rPr>
          <w:w w:val="105"/>
          <w:sz w:val="32"/>
        </w:rPr>
        <w:t>FDA</w:t>
      </w:r>
      <w:r>
        <w:rPr>
          <w:spacing w:val="-17"/>
          <w:w w:val="105"/>
          <w:sz w:val="32"/>
        </w:rPr>
        <w:t> 认证、欧盟 </w:t>
      </w:r>
      <w:r>
        <w:rPr>
          <w:w w:val="105"/>
          <w:sz w:val="32"/>
        </w:rPr>
        <w:t>CE</w:t>
      </w:r>
      <w:r>
        <w:rPr>
          <w:spacing w:val="-8"/>
          <w:w w:val="105"/>
          <w:sz w:val="32"/>
        </w:rPr>
        <w:t> 认证的产品，须提供</w:t>
      </w:r>
    </w:p>
    <w:p>
      <w:pPr>
        <w:pStyle w:val="BodyText"/>
        <w:spacing w:before="7"/>
        <w:ind w:left="0"/>
        <w:rPr>
          <w:sz w:val="42"/>
        </w:rPr>
      </w:pPr>
    </w:p>
    <w:p>
      <w:pPr>
        <w:pStyle w:val="BodyText"/>
      </w:pPr>
      <w:r>
        <w:rPr>
          <w:w w:val="105"/>
        </w:rPr>
        <w:t>美国 FDA、欧盟 CE 认证相关证明及有效中文翻译件；</w:t>
      </w:r>
    </w:p>
    <w:p>
      <w:pPr>
        <w:pStyle w:val="BodyText"/>
        <w:spacing w:before="4"/>
        <w:ind w:left="0"/>
        <w:rPr>
          <w:sz w:val="42"/>
        </w:rPr>
      </w:pPr>
    </w:p>
    <w:p>
      <w:pPr>
        <w:pStyle w:val="ListParagraph"/>
        <w:numPr>
          <w:ilvl w:val="0"/>
          <w:numId w:val="3"/>
        </w:numPr>
        <w:tabs>
          <w:tab w:pos="1841" w:val="left" w:leader="none"/>
        </w:tabs>
        <w:spacing w:line="240" w:lineRule="auto" w:before="1" w:after="0"/>
        <w:ind w:left="1840" w:right="0" w:hanging="830"/>
        <w:jc w:val="left"/>
        <w:rPr>
          <w:sz w:val="30"/>
        </w:rPr>
      </w:pPr>
      <w:r>
        <w:rPr>
          <w:rFonts w:ascii="仿宋" w:eastAsia="仿宋" w:hint="eastAsia"/>
          <w:spacing w:val="8"/>
          <w:sz w:val="32"/>
        </w:rPr>
        <w:t>其它相关文件材料，如产品发明专利、新型专利、</w:t>
      </w:r>
    </w:p>
    <w:p>
      <w:pPr>
        <w:pStyle w:val="BodyText"/>
        <w:spacing w:before="10"/>
        <w:ind w:left="0"/>
        <w:rPr>
          <w:rFonts w:ascii="仿宋"/>
          <w:sz w:val="41"/>
        </w:rPr>
      </w:pPr>
    </w:p>
    <w:p>
      <w:pPr>
        <w:pStyle w:val="BodyText"/>
        <w:spacing w:line="487" w:lineRule="auto"/>
        <w:ind w:right="423"/>
        <w:jc w:val="both"/>
        <w:rPr>
          <w:rFonts w:ascii="仿宋" w:eastAsia="仿宋" w:hint="eastAsia"/>
        </w:rPr>
      </w:pPr>
      <w:r>
        <w:rPr>
          <w:rFonts w:ascii="仿宋" w:eastAsia="仿宋" w:hint="eastAsia"/>
        </w:rPr>
        <w:t>设计专利证明文件；省级及以上奖励证书（指 </w:t>
      </w:r>
      <w:r>
        <w:rPr>
          <w:rFonts w:ascii="Times New Roman" w:eastAsia="Times New Roman"/>
        </w:rPr>
        <w:t>2005 </w:t>
      </w:r>
      <w:r>
        <w:rPr>
          <w:rFonts w:ascii="仿宋" w:eastAsia="仿宋" w:hint="eastAsia"/>
        </w:rPr>
        <w:t>年以来获得国家级自然科学或科技进步二等奖以下及以上、省科学技术一等奖及以上奖项的产品，奖项内容与质量相关）等；</w:t>
      </w:r>
    </w:p>
    <w:p>
      <w:pPr>
        <w:pStyle w:val="ListParagraph"/>
        <w:numPr>
          <w:ilvl w:val="0"/>
          <w:numId w:val="3"/>
        </w:numPr>
        <w:tabs>
          <w:tab w:pos="1812" w:val="left" w:leader="none"/>
        </w:tabs>
        <w:spacing w:line="405" w:lineRule="exact" w:before="0" w:after="0"/>
        <w:ind w:left="1811" w:right="0" w:hanging="801"/>
        <w:jc w:val="left"/>
        <w:rPr>
          <w:rFonts w:ascii="仿宋" w:eastAsia="仿宋" w:hint="eastAsia"/>
          <w:sz w:val="30"/>
        </w:rPr>
      </w:pPr>
      <w:r>
        <w:rPr>
          <w:rFonts w:ascii="仿宋" w:eastAsia="仿宋" w:hint="eastAsia"/>
          <w:sz w:val="32"/>
        </w:rPr>
        <w:t>其他文件</w:t>
      </w:r>
    </w:p>
    <w:p>
      <w:pPr>
        <w:spacing w:after="0" w:line="405" w:lineRule="exact"/>
        <w:jc w:val="left"/>
        <w:rPr>
          <w:rFonts w:ascii="仿宋" w:eastAsia="仿宋" w:hint="eastAsia"/>
          <w:sz w:val="30"/>
        </w:rPr>
        <w:sectPr>
          <w:pgSz w:w="11910" w:h="16840"/>
          <w:pgMar w:header="0" w:footer="1302" w:top="1420" w:bottom="1500" w:left="1220" w:right="1160"/>
        </w:sectPr>
      </w:pPr>
    </w:p>
    <w:p>
      <w:pPr>
        <w:pStyle w:val="BodyText"/>
        <w:spacing w:before="49"/>
      </w:pPr>
      <w:r>
        <w:rPr>
          <w:spacing w:val="-27"/>
        </w:rPr>
        <w:t>附件 </w:t>
      </w:r>
      <w:r>
        <w:rPr>
          <w:rFonts w:ascii="Times New Roman" w:eastAsia="Times New Roman"/>
        </w:rPr>
        <w:t>6</w:t>
      </w:r>
      <w:r>
        <w:rPr/>
        <w:t>：</w:t>
      </w:r>
    </w:p>
    <w:p>
      <w:pPr>
        <w:pStyle w:val="BodyText"/>
        <w:ind w:left="0"/>
      </w:pPr>
      <w:r>
        <w:rPr/>
        <w:br w:type="column"/>
      </w:r>
      <w:r>
        <w:rPr/>
      </w:r>
    </w:p>
    <w:p>
      <w:pPr>
        <w:spacing w:before="250"/>
        <w:ind w:left="369" w:right="0" w:firstLine="0"/>
        <w:jc w:val="left"/>
        <w:rPr>
          <w:sz w:val="28"/>
        </w:rPr>
      </w:pPr>
      <w:r>
        <w:rPr>
          <w:sz w:val="28"/>
        </w:rPr>
        <w:t>通用合同条款及前附表</w:t>
      </w:r>
    </w:p>
    <w:p>
      <w:pPr>
        <w:spacing w:after="0"/>
        <w:jc w:val="left"/>
        <w:rPr>
          <w:sz w:val="28"/>
        </w:rPr>
        <w:sectPr>
          <w:pgSz w:w="11910" w:h="16840"/>
          <w:pgMar w:header="0" w:footer="1302" w:top="1420" w:bottom="1500" w:left="1220" w:right="1160"/>
          <w:cols w:num="2" w:equalWidth="0">
            <w:col w:w="1610" w:space="1381"/>
            <w:col w:w="6539"/>
          </w:cols>
        </w:sectPr>
      </w:pPr>
    </w:p>
    <w:p>
      <w:pPr>
        <w:pStyle w:val="BodyText"/>
        <w:spacing w:before="5"/>
        <w:ind w:left="0"/>
        <w:rPr>
          <w:sz w:val="28"/>
        </w:rPr>
      </w:pPr>
    </w:p>
    <w:p>
      <w:pPr>
        <w:pStyle w:val="BodyText"/>
        <w:spacing w:before="56"/>
        <w:ind w:left="1010"/>
      </w:pPr>
      <w:r>
        <w:rPr/>
        <w:t>一、合同通用条款前附表</w:t>
      </w:r>
    </w:p>
    <w:p>
      <w:pPr>
        <w:pStyle w:val="BodyText"/>
        <w:ind w:left="0"/>
        <w:rPr>
          <w:sz w:val="20"/>
        </w:rPr>
      </w:pPr>
    </w:p>
    <w:p>
      <w:pPr>
        <w:pStyle w:val="BodyText"/>
        <w:ind w:left="0"/>
        <w:rPr>
          <w:sz w:val="14"/>
        </w:rPr>
      </w:pPr>
    </w:p>
    <w:tbl>
      <w:tblPr>
        <w:tblW w:w="0" w:type="auto"/>
        <w:jc w:val="left"/>
        <w:tblInd w:w="2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42"/>
        <w:gridCol w:w="1680"/>
        <w:gridCol w:w="6092"/>
      </w:tblGrid>
      <w:tr>
        <w:trPr>
          <w:trHeight w:val="710" w:hRule="atLeast"/>
        </w:trPr>
        <w:tc>
          <w:tcPr>
            <w:tcW w:w="842" w:type="dxa"/>
          </w:tcPr>
          <w:p>
            <w:pPr>
              <w:pStyle w:val="TableParagraph"/>
              <w:spacing w:before="124"/>
              <w:ind w:left="106" w:right="46"/>
              <w:rPr>
                <w:sz w:val="32"/>
              </w:rPr>
            </w:pPr>
            <w:r>
              <w:rPr>
                <w:sz w:val="32"/>
              </w:rPr>
              <w:t>序号</w:t>
            </w:r>
          </w:p>
        </w:tc>
        <w:tc>
          <w:tcPr>
            <w:tcW w:w="1680" w:type="dxa"/>
          </w:tcPr>
          <w:p>
            <w:pPr>
              <w:pStyle w:val="TableParagraph"/>
              <w:spacing w:before="124"/>
              <w:ind w:left="504"/>
              <w:jc w:val="left"/>
              <w:rPr>
                <w:sz w:val="32"/>
              </w:rPr>
            </w:pPr>
            <w:r>
              <w:rPr>
                <w:sz w:val="32"/>
              </w:rPr>
              <w:t>项 目</w:t>
            </w:r>
          </w:p>
        </w:tc>
        <w:tc>
          <w:tcPr>
            <w:tcW w:w="6092" w:type="dxa"/>
          </w:tcPr>
          <w:p>
            <w:pPr>
              <w:pStyle w:val="TableParagraph"/>
              <w:tabs>
                <w:tab w:pos="853" w:val="left" w:leader="none"/>
              </w:tabs>
              <w:spacing w:before="124"/>
              <w:ind w:left="59"/>
              <w:rPr>
                <w:sz w:val="32"/>
              </w:rPr>
            </w:pPr>
            <w:r>
              <w:rPr>
                <w:sz w:val="32"/>
              </w:rPr>
              <w:t>内</w:t>
              <w:tab/>
              <w:t>容</w:t>
            </w:r>
          </w:p>
        </w:tc>
      </w:tr>
      <w:tr>
        <w:trPr>
          <w:trHeight w:val="1250" w:hRule="atLeast"/>
        </w:trPr>
        <w:tc>
          <w:tcPr>
            <w:tcW w:w="842" w:type="dxa"/>
          </w:tcPr>
          <w:p>
            <w:pPr>
              <w:pStyle w:val="TableParagraph"/>
              <w:spacing w:before="10"/>
              <w:ind w:left="0"/>
              <w:jc w:val="left"/>
              <w:rPr>
                <w:sz w:val="33"/>
              </w:rPr>
            </w:pPr>
          </w:p>
          <w:p>
            <w:pPr>
              <w:pStyle w:val="TableParagraph"/>
              <w:ind w:left="56"/>
              <w:rPr>
                <w:rFonts w:ascii="Times New Roman"/>
                <w:sz w:val="32"/>
              </w:rPr>
            </w:pPr>
            <w:r>
              <w:rPr>
                <w:rFonts w:ascii="Times New Roman"/>
                <w:w w:val="99"/>
                <w:sz w:val="32"/>
              </w:rPr>
              <w:t>1</w:t>
            </w:r>
          </w:p>
        </w:tc>
        <w:tc>
          <w:tcPr>
            <w:tcW w:w="1680" w:type="dxa"/>
          </w:tcPr>
          <w:p>
            <w:pPr>
              <w:pStyle w:val="TableParagraph"/>
              <w:spacing w:before="10"/>
              <w:ind w:left="0"/>
              <w:jc w:val="left"/>
              <w:rPr>
                <w:sz w:val="30"/>
              </w:rPr>
            </w:pPr>
          </w:p>
          <w:p>
            <w:pPr>
              <w:pStyle w:val="TableParagraph"/>
              <w:jc w:val="left"/>
              <w:rPr>
                <w:sz w:val="32"/>
              </w:rPr>
            </w:pPr>
            <w:r>
              <w:rPr>
                <w:sz w:val="32"/>
              </w:rPr>
              <w:t>结算时间</w:t>
            </w:r>
          </w:p>
        </w:tc>
        <w:tc>
          <w:tcPr>
            <w:tcW w:w="6092" w:type="dxa"/>
          </w:tcPr>
          <w:p>
            <w:pPr>
              <w:pStyle w:val="TableParagraph"/>
              <w:spacing w:line="280" w:lineRule="auto" w:before="157"/>
              <w:ind w:right="47"/>
              <w:jc w:val="left"/>
              <w:rPr>
                <w:sz w:val="32"/>
              </w:rPr>
            </w:pPr>
            <w:r>
              <w:rPr>
                <w:spacing w:val="10"/>
                <w:sz w:val="32"/>
              </w:rPr>
              <w:t>采购人在收到配送商配送的产品后 </w:t>
            </w:r>
            <w:r>
              <w:rPr>
                <w:rFonts w:ascii="Times New Roman" w:eastAsia="Times New Roman"/>
                <w:sz w:val="32"/>
              </w:rPr>
              <w:t>60</w:t>
            </w:r>
            <w:r>
              <w:rPr>
                <w:rFonts w:ascii="Times New Roman" w:eastAsia="Times New Roman"/>
                <w:spacing w:val="53"/>
                <w:sz w:val="32"/>
              </w:rPr>
              <w:t> </w:t>
            </w:r>
            <w:r>
              <w:rPr>
                <w:sz w:val="32"/>
              </w:rPr>
              <w:t>日内，结清货款。</w:t>
            </w:r>
          </w:p>
        </w:tc>
      </w:tr>
      <w:tr>
        <w:trPr>
          <w:trHeight w:val="861" w:hRule="atLeast"/>
        </w:trPr>
        <w:tc>
          <w:tcPr>
            <w:tcW w:w="842" w:type="dxa"/>
          </w:tcPr>
          <w:p>
            <w:pPr>
              <w:pStyle w:val="TableParagraph"/>
              <w:spacing w:before="238"/>
              <w:ind w:left="56"/>
              <w:rPr>
                <w:rFonts w:ascii="Times New Roman"/>
                <w:sz w:val="32"/>
              </w:rPr>
            </w:pPr>
            <w:r>
              <w:rPr>
                <w:rFonts w:ascii="Times New Roman"/>
                <w:w w:val="99"/>
                <w:sz w:val="32"/>
              </w:rPr>
              <w:t>2</w:t>
            </w:r>
          </w:p>
        </w:tc>
        <w:tc>
          <w:tcPr>
            <w:tcW w:w="1680" w:type="dxa"/>
          </w:tcPr>
          <w:p>
            <w:pPr>
              <w:pStyle w:val="TableParagraph"/>
              <w:spacing w:before="200"/>
              <w:jc w:val="left"/>
              <w:rPr>
                <w:sz w:val="32"/>
              </w:rPr>
            </w:pPr>
            <w:r>
              <w:rPr>
                <w:sz w:val="32"/>
              </w:rPr>
              <w:t>结算价格</w:t>
            </w:r>
          </w:p>
        </w:tc>
        <w:tc>
          <w:tcPr>
            <w:tcW w:w="6092" w:type="dxa"/>
          </w:tcPr>
          <w:p>
            <w:pPr>
              <w:pStyle w:val="TableParagraph"/>
              <w:spacing w:before="200"/>
              <w:jc w:val="left"/>
              <w:rPr>
                <w:sz w:val="32"/>
              </w:rPr>
            </w:pPr>
            <w:r>
              <w:rPr>
                <w:sz w:val="32"/>
              </w:rPr>
              <w:t>采购人以采购品种目录价格结算货款。</w:t>
            </w:r>
          </w:p>
        </w:tc>
      </w:tr>
      <w:tr>
        <w:trPr>
          <w:trHeight w:val="825" w:hRule="atLeast"/>
        </w:trPr>
        <w:tc>
          <w:tcPr>
            <w:tcW w:w="842" w:type="dxa"/>
          </w:tcPr>
          <w:p>
            <w:pPr>
              <w:pStyle w:val="TableParagraph"/>
              <w:spacing w:before="219"/>
              <w:ind w:left="56"/>
              <w:rPr>
                <w:rFonts w:ascii="Times New Roman"/>
                <w:sz w:val="32"/>
              </w:rPr>
            </w:pPr>
            <w:r>
              <w:rPr>
                <w:rFonts w:ascii="Times New Roman"/>
                <w:w w:val="99"/>
                <w:sz w:val="32"/>
              </w:rPr>
              <w:t>3</w:t>
            </w:r>
          </w:p>
        </w:tc>
        <w:tc>
          <w:tcPr>
            <w:tcW w:w="1680" w:type="dxa"/>
          </w:tcPr>
          <w:p>
            <w:pPr>
              <w:pStyle w:val="TableParagraph"/>
              <w:spacing w:before="183"/>
              <w:jc w:val="left"/>
              <w:rPr>
                <w:sz w:val="32"/>
              </w:rPr>
            </w:pPr>
            <w:r>
              <w:rPr>
                <w:sz w:val="32"/>
              </w:rPr>
              <w:t>采购周期</w:t>
            </w:r>
          </w:p>
        </w:tc>
        <w:tc>
          <w:tcPr>
            <w:tcW w:w="6092" w:type="dxa"/>
          </w:tcPr>
          <w:p>
            <w:pPr>
              <w:pStyle w:val="TableParagraph"/>
              <w:spacing w:before="183"/>
              <w:jc w:val="left"/>
              <w:rPr>
                <w:sz w:val="32"/>
              </w:rPr>
            </w:pPr>
            <w:r>
              <w:rPr>
                <w:sz w:val="32"/>
              </w:rPr>
              <w:t>不少于两年。</w:t>
            </w:r>
          </w:p>
        </w:tc>
      </w:tr>
      <w:tr>
        <w:trPr>
          <w:trHeight w:val="2627" w:hRule="atLeast"/>
        </w:trPr>
        <w:tc>
          <w:tcPr>
            <w:tcW w:w="842" w:type="dxa"/>
          </w:tcPr>
          <w:p>
            <w:pPr>
              <w:pStyle w:val="TableParagraph"/>
              <w:ind w:left="0"/>
              <w:jc w:val="left"/>
              <w:rPr>
                <w:sz w:val="34"/>
              </w:rPr>
            </w:pPr>
          </w:p>
          <w:p>
            <w:pPr>
              <w:pStyle w:val="TableParagraph"/>
              <w:ind w:left="0"/>
              <w:jc w:val="left"/>
              <w:rPr>
                <w:sz w:val="34"/>
              </w:rPr>
            </w:pPr>
          </w:p>
          <w:p>
            <w:pPr>
              <w:pStyle w:val="TableParagraph"/>
              <w:spacing w:before="251"/>
              <w:ind w:left="56"/>
              <w:rPr>
                <w:rFonts w:ascii="Times New Roman"/>
                <w:sz w:val="32"/>
              </w:rPr>
            </w:pPr>
            <w:r>
              <w:rPr>
                <w:rFonts w:ascii="Times New Roman"/>
                <w:w w:val="99"/>
                <w:sz w:val="32"/>
              </w:rPr>
              <w:t>4</w:t>
            </w:r>
          </w:p>
        </w:tc>
        <w:tc>
          <w:tcPr>
            <w:tcW w:w="1680" w:type="dxa"/>
          </w:tcPr>
          <w:p>
            <w:pPr>
              <w:pStyle w:val="TableParagraph"/>
              <w:ind w:left="0"/>
              <w:jc w:val="left"/>
              <w:rPr>
                <w:sz w:val="36"/>
              </w:rPr>
            </w:pPr>
          </w:p>
          <w:p>
            <w:pPr>
              <w:pStyle w:val="TableParagraph"/>
              <w:spacing w:before="7"/>
              <w:ind w:left="0"/>
              <w:jc w:val="left"/>
              <w:rPr>
                <w:sz w:val="48"/>
              </w:rPr>
            </w:pPr>
          </w:p>
          <w:p>
            <w:pPr>
              <w:pStyle w:val="TableParagraph"/>
              <w:spacing w:before="1"/>
              <w:ind w:left="225"/>
              <w:jc w:val="left"/>
              <w:rPr>
                <w:sz w:val="32"/>
              </w:rPr>
            </w:pPr>
            <w:r>
              <w:rPr>
                <w:sz w:val="32"/>
              </w:rPr>
              <w:t>合同组成</w:t>
            </w:r>
          </w:p>
        </w:tc>
        <w:tc>
          <w:tcPr>
            <w:tcW w:w="6092" w:type="dxa"/>
          </w:tcPr>
          <w:p>
            <w:pPr>
              <w:pStyle w:val="TableParagraph"/>
              <w:spacing w:line="278" w:lineRule="auto" w:before="131"/>
              <w:ind w:right="46"/>
              <w:jc w:val="both"/>
              <w:rPr>
                <w:sz w:val="32"/>
              </w:rPr>
            </w:pPr>
            <w:r>
              <w:rPr>
                <w:spacing w:val="8"/>
                <w:w w:val="95"/>
                <w:sz w:val="32"/>
              </w:rPr>
              <w:t>《采购文件》中的《医用耗材集中采购目</w:t>
            </w:r>
            <w:r>
              <w:rPr>
                <w:spacing w:val="-30"/>
                <w:sz w:val="32"/>
              </w:rPr>
              <w:t>录》、《通用合同条款及前附表》、采购品种</w:t>
            </w:r>
            <w:r>
              <w:rPr>
                <w:spacing w:val="8"/>
                <w:w w:val="95"/>
                <w:sz w:val="32"/>
              </w:rPr>
              <w:t>目录、供应商提交的供应商法定代表人授权书、采购人网上发送的采购订单，均为</w:t>
            </w:r>
            <w:r>
              <w:rPr>
                <w:spacing w:val="8"/>
                <w:sz w:val="32"/>
              </w:rPr>
              <w:t>最终的购销合同组成部分。</w:t>
            </w:r>
          </w:p>
        </w:tc>
      </w:tr>
      <w:tr>
        <w:trPr>
          <w:trHeight w:val="1782" w:hRule="atLeast"/>
        </w:trPr>
        <w:tc>
          <w:tcPr>
            <w:tcW w:w="842" w:type="dxa"/>
          </w:tcPr>
          <w:p>
            <w:pPr>
              <w:pStyle w:val="TableParagraph"/>
              <w:ind w:left="0"/>
              <w:jc w:val="left"/>
              <w:rPr>
                <w:sz w:val="34"/>
              </w:rPr>
            </w:pPr>
          </w:p>
          <w:p>
            <w:pPr>
              <w:pStyle w:val="TableParagraph"/>
              <w:spacing w:before="264"/>
              <w:ind w:left="56"/>
              <w:rPr>
                <w:rFonts w:ascii="Times New Roman"/>
                <w:sz w:val="32"/>
              </w:rPr>
            </w:pPr>
            <w:r>
              <w:rPr>
                <w:rFonts w:ascii="Times New Roman"/>
                <w:w w:val="99"/>
                <w:sz w:val="32"/>
              </w:rPr>
              <w:t>5</w:t>
            </w:r>
          </w:p>
        </w:tc>
        <w:tc>
          <w:tcPr>
            <w:tcW w:w="1680" w:type="dxa"/>
          </w:tcPr>
          <w:p>
            <w:pPr>
              <w:pStyle w:val="TableParagraph"/>
              <w:spacing w:before="7"/>
              <w:ind w:left="0"/>
              <w:jc w:val="left"/>
              <w:rPr>
                <w:sz w:val="51"/>
              </w:rPr>
            </w:pPr>
          </w:p>
          <w:p>
            <w:pPr>
              <w:pStyle w:val="TableParagraph"/>
              <w:spacing w:before="1"/>
              <w:ind w:left="465"/>
              <w:jc w:val="left"/>
              <w:rPr>
                <w:sz w:val="32"/>
              </w:rPr>
            </w:pPr>
            <w:r>
              <w:rPr>
                <w:sz w:val="32"/>
              </w:rPr>
              <w:t>配 送</w:t>
            </w:r>
          </w:p>
        </w:tc>
        <w:tc>
          <w:tcPr>
            <w:tcW w:w="6092" w:type="dxa"/>
          </w:tcPr>
          <w:p>
            <w:pPr>
              <w:pStyle w:val="TableParagraph"/>
              <w:spacing w:line="278" w:lineRule="auto" w:before="183"/>
              <w:ind w:right="49"/>
              <w:jc w:val="both"/>
              <w:rPr>
                <w:sz w:val="32"/>
              </w:rPr>
            </w:pPr>
            <w:r>
              <w:rPr>
                <w:w w:val="95"/>
                <w:sz w:val="32"/>
              </w:rPr>
              <w:t>供应商和配送商必须满足所有采购人的配送需求，并严格按照产品购销合同和服务</w:t>
            </w:r>
            <w:r>
              <w:rPr>
                <w:sz w:val="32"/>
              </w:rPr>
              <w:t>承诺进行产品配送。</w:t>
            </w:r>
          </w:p>
        </w:tc>
      </w:tr>
    </w:tbl>
    <w:p>
      <w:pPr>
        <w:spacing w:after="0" w:line="278" w:lineRule="auto"/>
        <w:jc w:val="both"/>
        <w:rPr>
          <w:sz w:val="32"/>
        </w:rPr>
        <w:sectPr>
          <w:type w:val="continuous"/>
          <w:pgSz w:w="11910" w:h="16840"/>
          <w:pgMar w:top="1480" w:bottom="1500" w:left="1220" w:right="1160"/>
        </w:sectPr>
      </w:pPr>
    </w:p>
    <w:p>
      <w:pPr>
        <w:pStyle w:val="BodyText"/>
        <w:spacing w:before="29"/>
        <w:ind w:left="789"/>
      </w:pPr>
      <w:r>
        <w:rPr/>
        <w:t>二、通用合同条款</w:t>
      </w:r>
    </w:p>
    <w:p>
      <w:pPr>
        <w:pStyle w:val="BodyText"/>
        <w:spacing w:before="269"/>
        <w:ind w:left="995"/>
      </w:pPr>
      <w:r>
        <w:rPr/>
        <w:t>（一）定义</w:t>
      </w:r>
    </w:p>
    <w:p>
      <w:pPr>
        <w:pStyle w:val="BodyText"/>
        <w:spacing w:before="181"/>
        <w:ind w:left="1010"/>
      </w:pPr>
      <w:r>
        <w:rPr/>
        <w:t>本合同下列术语应解释为：</w:t>
      </w:r>
    </w:p>
    <w:p>
      <w:pPr>
        <w:pStyle w:val="ListParagraph"/>
        <w:numPr>
          <w:ilvl w:val="0"/>
          <w:numId w:val="4"/>
        </w:numPr>
        <w:tabs>
          <w:tab w:pos="1370" w:val="left" w:leader="none"/>
        </w:tabs>
        <w:spacing w:line="345" w:lineRule="auto" w:before="178" w:after="0"/>
        <w:ind w:left="369" w:right="368" w:firstLine="626"/>
        <w:jc w:val="left"/>
        <w:rPr>
          <w:sz w:val="32"/>
        </w:rPr>
      </w:pPr>
      <w:r>
        <w:rPr>
          <w:rFonts w:ascii="Times New Roman" w:hAnsi="Times New Roman" w:eastAsia="Times New Roman"/>
          <w:w w:val="95"/>
          <w:sz w:val="32"/>
        </w:rPr>
        <w:t>“</w:t>
      </w:r>
      <w:r>
        <w:rPr>
          <w:spacing w:val="4"/>
          <w:w w:val="95"/>
          <w:sz w:val="32"/>
        </w:rPr>
        <w:t>合同</w:t>
      </w:r>
      <w:r>
        <w:rPr>
          <w:rFonts w:ascii="Times New Roman" w:hAnsi="Times New Roman" w:eastAsia="Times New Roman"/>
          <w:w w:val="95"/>
          <w:sz w:val="32"/>
        </w:rPr>
        <w:t>”</w:t>
      </w:r>
      <w:r>
        <w:rPr>
          <w:spacing w:val="7"/>
          <w:w w:val="95"/>
          <w:sz w:val="32"/>
        </w:rPr>
        <w:t>是指采购人和供应商按照产品购销合同格式签署 </w:t>
      </w:r>
      <w:r>
        <w:rPr>
          <w:sz w:val="32"/>
        </w:rPr>
        <w:t>的协议，内容包括：</w:t>
      </w:r>
    </w:p>
    <w:p>
      <w:pPr>
        <w:pStyle w:val="ListParagraph"/>
        <w:numPr>
          <w:ilvl w:val="0"/>
          <w:numId w:val="5"/>
        </w:numPr>
        <w:tabs>
          <w:tab w:pos="1798" w:val="left" w:leader="none"/>
        </w:tabs>
        <w:spacing w:line="240" w:lineRule="auto" w:before="0" w:after="0"/>
        <w:ind w:left="1797" w:right="0" w:hanging="802"/>
        <w:jc w:val="left"/>
        <w:rPr>
          <w:sz w:val="32"/>
        </w:rPr>
      </w:pPr>
      <w:r>
        <w:rPr>
          <w:sz w:val="32"/>
        </w:rPr>
        <w:t>产品购销合同和采购品种一览表；</w:t>
      </w:r>
    </w:p>
    <w:p>
      <w:pPr>
        <w:pStyle w:val="ListParagraph"/>
        <w:numPr>
          <w:ilvl w:val="0"/>
          <w:numId w:val="5"/>
        </w:numPr>
        <w:tabs>
          <w:tab w:pos="1798" w:val="left" w:leader="none"/>
        </w:tabs>
        <w:spacing w:line="240" w:lineRule="auto" w:before="180" w:after="0"/>
        <w:ind w:left="1797" w:right="0" w:hanging="802"/>
        <w:jc w:val="left"/>
        <w:rPr>
          <w:sz w:val="32"/>
        </w:rPr>
      </w:pPr>
      <w:r>
        <w:rPr>
          <w:sz w:val="32"/>
        </w:rPr>
        <w:t>其他相关文件。</w:t>
      </w:r>
    </w:p>
    <w:p>
      <w:pPr>
        <w:pStyle w:val="ListParagraph"/>
        <w:numPr>
          <w:ilvl w:val="0"/>
          <w:numId w:val="4"/>
        </w:numPr>
        <w:tabs>
          <w:tab w:pos="1370" w:val="left" w:leader="none"/>
        </w:tabs>
        <w:spacing w:line="345" w:lineRule="auto" w:before="181" w:after="0"/>
        <w:ind w:left="369" w:right="368" w:firstLine="626"/>
        <w:jc w:val="both"/>
        <w:rPr>
          <w:sz w:val="32"/>
        </w:rPr>
      </w:pPr>
      <w:r>
        <w:rPr>
          <w:rFonts w:ascii="Times New Roman" w:hAnsi="Times New Roman" w:eastAsia="Times New Roman"/>
          <w:w w:val="95"/>
          <w:sz w:val="32"/>
        </w:rPr>
        <w:t>“</w:t>
      </w:r>
      <w:r>
        <w:rPr>
          <w:spacing w:val="5"/>
          <w:w w:val="95"/>
          <w:sz w:val="32"/>
        </w:rPr>
        <w:t>合同价款</w:t>
      </w:r>
      <w:r>
        <w:rPr>
          <w:rFonts w:ascii="Times New Roman" w:hAnsi="Times New Roman" w:eastAsia="Times New Roman"/>
          <w:spacing w:val="3"/>
          <w:w w:val="95"/>
          <w:sz w:val="32"/>
        </w:rPr>
        <w:t>”</w:t>
      </w:r>
      <w:r>
        <w:rPr>
          <w:spacing w:val="5"/>
          <w:w w:val="95"/>
          <w:sz w:val="32"/>
        </w:rPr>
        <w:t>，是指供应商在完全履行合同义务后采购人 </w:t>
      </w:r>
      <w:r>
        <w:rPr>
          <w:spacing w:val="3"/>
          <w:w w:val="95"/>
          <w:sz w:val="32"/>
        </w:rPr>
        <w:t>应支付给供应商的价款，也可解释为供应商对采购人的实际供 </w:t>
      </w:r>
      <w:r>
        <w:rPr>
          <w:spacing w:val="3"/>
          <w:sz w:val="32"/>
        </w:rPr>
        <w:t>应价款。</w:t>
      </w:r>
    </w:p>
    <w:p>
      <w:pPr>
        <w:pStyle w:val="ListParagraph"/>
        <w:numPr>
          <w:ilvl w:val="0"/>
          <w:numId w:val="4"/>
        </w:numPr>
        <w:tabs>
          <w:tab w:pos="1370" w:val="left" w:leader="none"/>
        </w:tabs>
        <w:spacing w:line="345" w:lineRule="auto" w:before="0" w:after="0"/>
        <w:ind w:left="369" w:right="368" w:firstLine="626"/>
        <w:jc w:val="left"/>
        <w:rPr>
          <w:sz w:val="32"/>
        </w:rPr>
      </w:pPr>
      <w:r>
        <w:rPr>
          <w:rFonts w:ascii="Times New Roman" w:hAnsi="Times New Roman" w:eastAsia="Times New Roman"/>
          <w:w w:val="95"/>
          <w:sz w:val="32"/>
        </w:rPr>
        <w:t>“</w:t>
      </w:r>
      <w:r>
        <w:rPr>
          <w:spacing w:val="5"/>
          <w:w w:val="95"/>
          <w:sz w:val="32"/>
        </w:rPr>
        <w:t>伴随服务</w:t>
      </w:r>
      <w:r>
        <w:rPr>
          <w:rFonts w:ascii="Times New Roman" w:hAnsi="Times New Roman" w:eastAsia="Times New Roman"/>
          <w:spacing w:val="3"/>
          <w:w w:val="95"/>
          <w:sz w:val="32"/>
        </w:rPr>
        <w:t>”</w:t>
      </w:r>
      <w:r>
        <w:rPr>
          <w:spacing w:val="5"/>
          <w:w w:val="95"/>
          <w:sz w:val="32"/>
        </w:rPr>
        <w:t>，是指根据合同规定供应商承担的与供货有 </w:t>
      </w:r>
      <w:r>
        <w:rPr>
          <w:sz w:val="32"/>
        </w:rPr>
        <w:t>关的辅助服务和合同中规定供应商应承担的其它义务。</w:t>
      </w:r>
    </w:p>
    <w:p>
      <w:pPr>
        <w:pStyle w:val="ListParagraph"/>
        <w:numPr>
          <w:ilvl w:val="0"/>
          <w:numId w:val="4"/>
        </w:numPr>
        <w:tabs>
          <w:tab w:pos="1385" w:val="left" w:leader="none"/>
        </w:tabs>
        <w:spacing w:line="345" w:lineRule="auto" w:before="0" w:after="0"/>
        <w:ind w:left="369" w:right="382" w:firstLine="626"/>
        <w:jc w:val="left"/>
        <w:rPr>
          <w:sz w:val="32"/>
        </w:rPr>
      </w:pPr>
      <w:r>
        <w:rPr>
          <w:rFonts w:ascii="Times New Roman" w:hAnsi="Times New Roman" w:eastAsia="Times New Roman"/>
          <w:w w:val="95"/>
          <w:sz w:val="32"/>
        </w:rPr>
        <w:t>“</w:t>
      </w:r>
      <w:r>
        <w:rPr>
          <w:spacing w:val="14"/>
          <w:w w:val="95"/>
          <w:sz w:val="32"/>
        </w:rPr>
        <w:t>采购人</w:t>
      </w:r>
      <w:r>
        <w:rPr>
          <w:rFonts w:ascii="Times New Roman" w:hAnsi="Times New Roman" w:eastAsia="Times New Roman"/>
          <w:w w:val="95"/>
          <w:sz w:val="32"/>
        </w:rPr>
        <w:t>”</w:t>
      </w:r>
      <w:r>
        <w:rPr>
          <w:spacing w:val="19"/>
          <w:w w:val="95"/>
          <w:sz w:val="32"/>
        </w:rPr>
        <w:t>是指全市范围内县级及县级以上医疗卫生机 </w:t>
      </w:r>
      <w:r>
        <w:rPr>
          <w:spacing w:val="19"/>
          <w:sz w:val="32"/>
        </w:rPr>
        <w:t>构。</w:t>
      </w:r>
    </w:p>
    <w:p>
      <w:pPr>
        <w:pStyle w:val="ListParagraph"/>
        <w:numPr>
          <w:ilvl w:val="0"/>
          <w:numId w:val="4"/>
        </w:numPr>
        <w:tabs>
          <w:tab w:pos="1370" w:val="left" w:leader="none"/>
        </w:tabs>
        <w:spacing w:line="343" w:lineRule="auto" w:before="0" w:after="0"/>
        <w:ind w:left="369" w:right="368" w:firstLine="626"/>
        <w:jc w:val="left"/>
        <w:rPr>
          <w:sz w:val="32"/>
        </w:rPr>
      </w:pPr>
      <w:r>
        <w:rPr>
          <w:rFonts w:ascii="Times New Roman" w:hAnsi="Times New Roman" w:eastAsia="Times New Roman"/>
          <w:w w:val="95"/>
          <w:sz w:val="32"/>
        </w:rPr>
        <w:t>“</w:t>
      </w:r>
      <w:r>
        <w:rPr>
          <w:spacing w:val="5"/>
          <w:w w:val="95"/>
          <w:sz w:val="32"/>
        </w:rPr>
        <w:t>供应商</w:t>
      </w:r>
      <w:r>
        <w:rPr>
          <w:rFonts w:ascii="Times New Roman" w:hAnsi="Times New Roman" w:eastAsia="Times New Roman"/>
          <w:w w:val="95"/>
          <w:sz w:val="32"/>
        </w:rPr>
        <w:t>”</w:t>
      </w:r>
      <w:r>
        <w:rPr>
          <w:spacing w:val="7"/>
          <w:w w:val="95"/>
          <w:sz w:val="32"/>
        </w:rPr>
        <w:t>是指参加本次集中采购的医用耗材生产企业和 </w:t>
      </w:r>
      <w:r>
        <w:rPr>
          <w:sz w:val="32"/>
        </w:rPr>
        <w:t>被授权的经营企业。</w:t>
      </w:r>
    </w:p>
    <w:p>
      <w:pPr>
        <w:pStyle w:val="BodyText"/>
        <w:spacing w:before="4"/>
        <w:ind w:left="995"/>
      </w:pPr>
      <w:r>
        <w:rPr/>
        <w:t>（二）产地</w:t>
      </w:r>
    </w:p>
    <w:p>
      <w:pPr>
        <w:pStyle w:val="BodyText"/>
        <w:spacing w:before="180"/>
        <w:ind w:left="995"/>
      </w:pPr>
      <w:r>
        <w:rPr/>
        <w:t>“产地”是指产品实际生产企业所在地。</w:t>
      </w:r>
    </w:p>
    <w:p>
      <w:pPr>
        <w:pStyle w:val="BodyText"/>
        <w:spacing w:before="181"/>
        <w:ind w:left="995"/>
      </w:pPr>
      <w:r>
        <w:rPr/>
        <w:t>（三）规格型号</w:t>
      </w:r>
    </w:p>
    <w:p>
      <w:pPr>
        <w:pStyle w:val="ListParagraph"/>
        <w:numPr>
          <w:ilvl w:val="0"/>
          <w:numId w:val="6"/>
        </w:numPr>
        <w:tabs>
          <w:tab w:pos="1368" w:val="left" w:leader="none"/>
        </w:tabs>
        <w:spacing w:line="345" w:lineRule="auto" w:before="181" w:after="0"/>
        <w:ind w:left="369" w:right="377" w:firstLine="626"/>
        <w:jc w:val="left"/>
        <w:rPr>
          <w:sz w:val="32"/>
        </w:rPr>
      </w:pPr>
      <w:r>
        <w:rPr>
          <w:spacing w:val="3"/>
          <w:w w:val="95"/>
          <w:sz w:val="32"/>
        </w:rPr>
        <w:t>供应产品的规格型号应与采购目录规定的规格型号相一 </w:t>
      </w:r>
      <w:r>
        <w:rPr>
          <w:spacing w:val="3"/>
          <w:sz w:val="32"/>
        </w:rPr>
        <w:t>致。</w:t>
      </w:r>
    </w:p>
    <w:p>
      <w:pPr>
        <w:pStyle w:val="ListParagraph"/>
        <w:numPr>
          <w:ilvl w:val="0"/>
          <w:numId w:val="6"/>
        </w:numPr>
        <w:tabs>
          <w:tab w:pos="1368" w:val="left" w:leader="none"/>
        </w:tabs>
        <w:spacing w:line="345" w:lineRule="auto" w:before="0" w:after="0"/>
        <w:ind w:left="369" w:right="383" w:firstLine="626"/>
        <w:jc w:val="left"/>
        <w:rPr>
          <w:sz w:val="32"/>
        </w:rPr>
      </w:pPr>
      <w:r>
        <w:rPr>
          <w:spacing w:val="3"/>
          <w:w w:val="95"/>
          <w:sz w:val="32"/>
        </w:rPr>
        <w:t>除集中采购文件有特殊要求外，计量、数量单位应该使 </w:t>
      </w:r>
      <w:r>
        <w:rPr>
          <w:spacing w:val="3"/>
          <w:sz w:val="32"/>
        </w:rPr>
        <w:t>用国家通用的计量、数量单位。</w:t>
      </w:r>
    </w:p>
    <w:p>
      <w:pPr>
        <w:spacing w:after="0" w:line="345" w:lineRule="auto"/>
        <w:jc w:val="left"/>
        <w:rPr>
          <w:sz w:val="32"/>
        </w:rPr>
        <w:sectPr>
          <w:pgSz w:w="11910" w:h="16840"/>
          <w:pgMar w:header="0" w:footer="1302" w:top="1380" w:bottom="1500" w:left="1220" w:right="1160"/>
        </w:sectPr>
      </w:pPr>
    </w:p>
    <w:p>
      <w:pPr>
        <w:pStyle w:val="BodyText"/>
        <w:spacing w:before="30"/>
        <w:ind w:left="995"/>
      </w:pPr>
      <w:r>
        <w:rPr/>
        <w:t>（四）技术规范</w:t>
      </w:r>
    </w:p>
    <w:p>
      <w:pPr>
        <w:pStyle w:val="BodyText"/>
        <w:spacing w:line="343" w:lineRule="auto" w:before="181"/>
        <w:ind w:right="368" w:firstLine="626"/>
        <w:jc w:val="both"/>
      </w:pPr>
      <w:r>
        <w:rPr>
          <w:spacing w:val="6"/>
          <w:w w:val="95"/>
        </w:rPr>
        <w:t>技术规范应以国家有关部门最新颁布的相应标准及规范为 </w:t>
      </w:r>
      <w:r>
        <w:rPr/>
        <w:t>准。</w:t>
      </w:r>
    </w:p>
    <w:p>
      <w:pPr>
        <w:pStyle w:val="BodyText"/>
        <w:spacing w:before="6"/>
        <w:ind w:left="995"/>
      </w:pPr>
      <w:r>
        <w:rPr/>
        <w:t>（五）有效期</w:t>
      </w:r>
    </w:p>
    <w:p>
      <w:pPr>
        <w:pStyle w:val="BodyText"/>
        <w:spacing w:line="345" w:lineRule="auto" w:before="180"/>
        <w:ind w:right="368" w:firstLine="626"/>
        <w:jc w:val="both"/>
      </w:pPr>
      <w:r>
        <w:rPr>
          <w:spacing w:val="6"/>
          <w:w w:val="95"/>
        </w:rPr>
        <w:t>除非采购人对有效期另有规定，供应商所提供产品的有效 </w:t>
      </w:r>
      <w:r>
        <w:rPr/>
        <w:t>期不得少于整个有效期的三分之二。</w:t>
      </w:r>
    </w:p>
    <w:p>
      <w:pPr>
        <w:pStyle w:val="BodyText"/>
        <w:spacing w:before="1"/>
        <w:ind w:left="995"/>
      </w:pPr>
      <w:r>
        <w:rPr/>
        <w:t>（六）专利权</w:t>
      </w:r>
    </w:p>
    <w:p>
      <w:pPr>
        <w:pStyle w:val="BodyText"/>
        <w:spacing w:line="343" w:lineRule="auto" w:before="180"/>
        <w:ind w:right="368" w:firstLine="626"/>
        <w:jc w:val="both"/>
      </w:pPr>
      <w:r>
        <w:rPr>
          <w:spacing w:val="6"/>
          <w:w w:val="95"/>
        </w:rPr>
        <w:t>供应商应保证采购人在使用候选产品时，不受第三方提出 </w:t>
      </w:r>
      <w:r>
        <w:rPr/>
        <w:t>的侵犯其专利权、商标权或保护期的起诉。</w:t>
      </w:r>
    </w:p>
    <w:p>
      <w:pPr>
        <w:pStyle w:val="BodyText"/>
        <w:spacing w:before="6"/>
        <w:ind w:left="995"/>
      </w:pPr>
      <w:r>
        <w:rPr/>
        <w:t>（七）包装</w:t>
      </w:r>
    </w:p>
    <w:p>
      <w:pPr>
        <w:pStyle w:val="ListParagraph"/>
        <w:numPr>
          <w:ilvl w:val="0"/>
          <w:numId w:val="7"/>
        </w:numPr>
        <w:tabs>
          <w:tab w:pos="1368" w:val="left" w:leader="none"/>
        </w:tabs>
        <w:spacing w:line="345" w:lineRule="auto" w:before="180" w:after="0"/>
        <w:ind w:left="369" w:right="382" w:firstLine="626"/>
        <w:jc w:val="both"/>
        <w:rPr>
          <w:sz w:val="32"/>
        </w:rPr>
      </w:pPr>
      <w:r>
        <w:rPr>
          <w:spacing w:val="3"/>
          <w:w w:val="95"/>
          <w:sz w:val="32"/>
        </w:rPr>
        <w:t>除非对包装另有规定，供应商提供的全部产品均应按标 准保护措施进行包装，以防止产品在转运中损坏或变质，确保 </w:t>
      </w:r>
      <w:r>
        <w:rPr>
          <w:sz w:val="32"/>
        </w:rPr>
        <w:t>产品安全无损运抵指定地点。</w:t>
      </w:r>
    </w:p>
    <w:p>
      <w:pPr>
        <w:pStyle w:val="ListParagraph"/>
        <w:numPr>
          <w:ilvl w:val="0"/>
          <w:numId w:val="7"/>
        </w:numPr>
        <w:tabs>
          <w:tab w:pos="1382" w:val="left" w:leader="none"/>
        </w:tabs>
        <w:spacing w:line="345" w:lineRule="auto" w:before="1" w:after="0"/>
        <w:ind w:left="369" w:right="359" w:firstLine="626"/>
        <w:jc w:val="both"/>
        <w:rPr>
          <w:sz w:val="32"/>
        </w:rPr>
      </w:pPr>
      <w:r>
        <w:rPr>
          <w:spacing w:val="18"/>
          <w:w w:val="95"/>
          <w:sz w:val="32"/>
        </w:rPr>
        <w:t>每一个包装箱内应附一份详细装箱单和质量检验报告 </w:t>
      </w:r>
      <w:r>
        <w:rPr>
          <w:spacing w:val="3"/>
          <w:w w:val="95"/>
          <w:sz w:val="32"/>
        </w:rPr>
        <w:t>书、产品合格证，包装、标记和包装箱内外的单据标签应符合 </w:t>
      </w:r>
      <w:r>
        <w:rPr>
          <w:spacing w:val="3"/>
          <w:sz w:val="32"/>
        </w:rPr>
        <w:t>合同的要求，包括采购人后来提出的特殊要求。</w:t>
      </w:r>
    </w:p>
    <w:p>
      <w:pPr>
        <w:pStyle w:val="ListParagraph"/>
        <w:numPr>
          <w:ilvl w:val="0"/>
          <w:numId w:val="7"/>
        </w:numPr>
        <w:tabs>
          <w:tab w:pos="1368" w:val="left" w:leader="none"/>
        </w:tabs>
        <w:spacing w:line="345" w:lineRule="auto" w:before="0" w:after="0"/>
        <w:ind w:left="369" w:right="382" w:firstLine="626"/>
        <w:jc w:val="both"/>
        <w:rPr>
          <w:sz w:val="32"/>
        </w:rPr>
      </w:pPr>
      <w:r>
        <w:rPr>
          <w:spacing w:val="4"/>
          <w:w w:val="95"/>
          <w:sz w:val="32"/>
        </w:rPr>
        <w:t>进口产品包装上（包括大包装、小包装等）</w:t>
      </w:r>
      <w:r>
        <w:rPr>
          <w:spacing w:val="3"/>
          <w:w w:val="95"/>
          <w:sz w:val="32"/>
        </w:rPr>
        <w:t>必须附有名 称、批号、产地、规格、型号、消毒日期、有效期等国家规定 </w:t>
      </w:r>
      <w:r>
        <w:rPr>
          <w:sz w:val="32"/>
        </w:rPr>
        <w:t>的中文标识。</w:t>
      </w:r>
    </w:p>
    <w:p>
      <w:pPr>
        <w:pStyle w:val="BodyText"/>
        <w:ind w:left="995"/>
      </w:pPr>
      <w:r>
        <w:rPr/>
        <w:t>（八）付款</w:t>
      </w:r>
    </w:p>
    <w:p>
      <w:pPr>
        <w:pStyle w:val="ListParagraph"/>
        <w:numPr>
          <w:ilvl w:val="0"/>
          <w:numId w:val="8"/>
        </w:numPr>
        <w:tabs>
          <w:tab w:pos="1368" w:val="left" w:leader="none"/>
        </w:tabs>
        <w:spacing w:line="345" w:lineRule="auto" w:before="176" w:after="0"/>
        <w:ind w:left="369" w:right="375" w:firstLine="626"/>
        <w:jc w:val="both"/>
        <w:rPr>
          <w:sz w:val="32"/>
        </w:rPr>
      </w:pPr>
      <w:r>
        <w:rPr>
          <w:spacing w:val="3"/>
          <w:w w:val="95"/>
          <w:sz w:val="32"/>
        </w:rPr>
        <w:t>本合同中对供应商付款的是作为采购人的医疗机构。自 采购人收到本合同项下最后一批配送产品后，在本合同条款前 </w:t>
      </w:r>
      <w:r>
        <w:rPr>
          <w:sz w:val="32"/>
        </w:rPr>
        <w:t>附表规定的时间内，采购人应付清全部货款。</w:t>
      </w:r>
    </w:p>
    <w:p>
      <w:pPr>
        <w:spacing w:after="0" w:line="345" w:lineRule="auto"/>
        <w:jc w:val="both"/>
        <w:rPr>
          <w:sz w:val="32"/>
        </w:rPr>
        <w:sectPr>
          <w:pgSz w:w="11910" w:h="16840"/>
          <w:pgMar w:header="0" w:footer="1302" w:top="1580" w:bottom="1500" w:left="1220" w:right="1160"/>
        </w:sectPr>
      </w:pPr>
    </w:p>
    <w:p>
      <w:pPr>
        <w:pStyle w:val="ListParagraph"/>
        <w:numPr>
          <w:ilvl w:val="0"/>
          <w:numId w:val="8"/>
        </w:numPr>
        <w:tabs>
          <w:tab w:pos="1368" w:val="left" w:leader="none"/>
        </w:tabs>
        <w:spacing w:line="345" w:lineRule="auto" w:before="50" w:after="0"/>
        <w:ind w:left="369" w:right="383" w:firstLine="626"/>
        <w:jc w:val="left"/>
        <w:rPr>
          <w:sz w:val="32"/>
        </w:rPr>
      </w:pPr>
      <w:r>
        <w:rPr>
          <w:spacing w:val="3"/>
          <w:w w:val="95"/>
          <w:sz w:val="32"/>
        </w:rPr>
        <w:t>采购人按月与供应商结算到期货款。每次付款均应包括 </w:t>
      </w:r>
      <w:r>
        <w:rPr>
          <w:spacing w:val="3"/>
          <w:sz w:val="32"/>
        </w:rPr>
        <w:t>当月应结算的全部产品款项。</w:t>
      </w:r>
    </w:p>
    <w:p>
      <w:pPr>
        <w:pStyle w:val="ListParagraph"/>
        <w:numPr>
          <w:ilvl w:val="0"/>
          <w:numId w:val="8"/>
        </w:numPr>
        <w:tabs>
          <w:tab w:pos="1368" w:val="left" w:leader="none"/>
        </w:tabs>
        <w:spacing w:line="345" w:lineRule="auto" w:before="0" w:after="0"/>
        <w:ind w:left="369" w:right="383" w:firstLine="626"/>
        <w:jc w:val="left"/>
        <w:rPr>
          <w:sz w:val="32"/>
        </w:rPr>
      </w:pPr>
      <w:r>
        <w:rPr>
          <w:spacing w:val="3"/>
          <w:w w:val="95"/>
          <w:sz w:val="32"/>
        </w:rPr>
        <w:t>采购人按照产品购销合同规定的方式，同供应商结算货 </w:t>
      </w:r>
      <w:r>
        <w:rPr>
          <w:spacing w:val="3"/>
          <w:sz w:val="32"/>
        </w:rPr>
        <w:t>款。</w:t>
      </w:r>
    </w:p>
    <w:p>
      <w:pPr>
        <w:pStyle w:val="ListParagraph"/>
        <w:numPr>
          <w:ilvl w:val="0"/>
          <w:numId w:val="8"/>
        </w:numPr>
        <w:tabs>
          <w:tab w:pos="1368" w:val="left" w:leader="none"/>
        </w:tabs>
        <w:spacing w:line="345" w:lineRule="auto" w:before="0" w:after="0"/>
        <w:ind w:left="369" w:right="383" w:firstLine="626"/>
        <w:jc w:val="left"/>
        <w:rPr>
          <w:sz w:val="32"/>
        </w:rPr>
      </w:pPr>
      <w:r>
        <w:rPr>
          <w:spacing w:val="3"/>
          <w:w w:val="95"/>
          <w:sz w:val="32"/>
        </w:rPr>
        <w:t>供应商应向采购人提出付款要求，并提交对已交易产品 </w:t>
      </w:r>
      <w:r>
        <w:rPr>
          <w:spacing w:val="3"/>
          <w:sz w:val="32"/>
        </w:rPr>
        <w:t>的发票和有关单证以及合同规定的其他义务已经履行的证明。</w:t>
      </w:r>
    </w:p>
    <w:p>
      <w:pPr>
        <w:pStyle w:val="BodyText"/>
        <w:ind w:left="995"/>
      </w:pPr>
      <w:r>
        <w:rPr/>
        <w:t>（九）配送</w:t>
      </w:r>
    </w:p>
    <w:p>
      <w:pPr>
        <w:pStyle w:val="BodyText"/>
        <w:spacing w:line="343" w:lineRule="auto" w:before="179"/>
        <w:ind w:right="367" w:firstLine="626"/>
      </w:pPr>
      <w:r>
        <w:rPr>
          <w:spacing w:val="6"/>
          <w:w w:val="95"/>
        </w:rPr>
        <w:t>配送由生产企业或生产企业委托的配送商负责。每次配送 </w:t>
      </w:r>
      <w:r>
        <w:rPr/>
        <w:t>的时间和数量以采购人的采购计划或合同为准。</w:t>
      </w:r>
    </w:p>
    <w:p>
      <w:pPr>
        <w:pStyle w:val="BodyText"/>
        <w:spacing w:before="6"/>
        <w:ind w:left="995"/>
      </w:pPr>
      <w:r>
        <w:rPr/>
        <w:t>（十）交货</w:t>
      </w:r>
    </w:p>
    <w:p>
      <w:pPr>
        <w:pStyle w:val="ListParagraph"/>
        <w:numPr>
          <w:ilvl w:val="0"/>
          <w:numId w:val="9"/>
        </w:numPr>
        <w:tabs>
          <w:tab w:pos="1368" w:val="left" w:leader="none"/>
        </w:tabs>
        <w:spacing w:line="345" w:lineRule="auto" w:before="180" w:after="0"/>
        <w:ind w:left="369" w:right="377" w:firstLine="626"/>
        <w:jc w:val="both"/>
        <w:rPr>
          <w:sz w:val="32"/>
        </w:rPr>
      </w:pPr>
      <w:r>
        <w:rPr>
          <w:spacing w:val="3"/>
          <w:w w:val="95"/>
          <w:sz w:val="32"/>
        </w:rPr>
        <w:t>交货方式一般采用现场交货方式，其他交货方式在合同 特殊条款中规定。现场交货的方式由供应商负责办理运输和保 险，将货物运抵采购人现场。有关运输和保险的一切费用由供 </w:t>
      </w:r>
      <w:r>
        <w:rPr>
          <w:spacing w:val="3"/>
          <w:sz w:val="32"/>
        </w:rPr>
        <w:t>应商承担。</w:t>
      </w:r>
    </w:p>
    <w:p>
      <w:pPr>
        <w:pStyle w:val="ListParagraph"/>
        <w:numPr>
          <w:ilvl w:val="0"/>
          <w:numId w:val="9"/>
        </w:numPr>
        <w:tabs>
          <w:tab w:pos="1315" w:val="left" w:leader="none"/>
        </w:tabs>
        <w:spacing w:line="408" w:lineRule="exact" w:before="0" w:after="0"/>
        <w:ind w:left="1314" w:right="0" w:hanging="319"/>
        <w:jc w:val="left"/>
        <w:rPr>
          <w:sz w:val="32"/>
        </w:rPr>
      </w:pPr>
      <w:r>
        <w:rPr>
          <w:sz w:val="32"/>
        </w:rPr>
        <w:t>所有货物的交货日期以运抵采购人收货日期为准。</w:t>
      </w:r>
    </w:p>
    <w:p>
      <w:pPr>
        <w:pStyle w:val="BodyText"/>
        <w:spacing w:before="181"/>
        <w:ind w:left="995"/>
      </w:pPr>
      <w:r>
        <w:rPr/>
        <w:t>（十一）伴随服务</w:t>
      </w:r>
    </w:p>
    <w:p>
      <w:pPr>
        <w:pStyle w:val="ListParagraph"/>
        <w:numPr>
          <w:ilvl w:val="0"/>
          <w:numId w:val="10"/>
        </w:numPr>
        <w:tabs>
          <w:tab w:pos="1315" w:val="left" w:leader="none"/>
        </w:tabs>
        <w:spacing w:line="240" w:lineRule="auto" w:before="180" w:after="0"/>
        <w:ind w:left="1314" w:right="0" w:hanging="319"/>
        <w:jc w:val="left"/>
        <w:rPr>
          <w:sz w:val="32"/>
        </w:rPr>
      </w:pPr>
      <w:r>
        <w:rPr>
          <w:sz w:val="32"/>
        </w:rPr>
        <w:t>供应商可能被要求提供下列服务中的一项或全部服务。</w:t>
      </w:r>
    </w:p>
    <w:p>
      <w:pPr>
        <w:pStyle w:val="ListParagraph"/>
        <w:numPr>
          <w:ilvl w:val="0"/>
          <w:numId w:val="11"/>
        </w:numPr>
        <w:tabs>
          <w:tab w:pos="1798" w:val="left" w:leader="none"/>
        </w:tabs>
        <w:spacing w:line="240" w:lineRule="auto" w:before="180" w:after="0"/>
        <w:ind w:left="1797" w:right="0" w:hanging="802"/>
        <w:jc w:val="left"/>
        <w:rPr>
          <w:sz w:val="32"/>
        </w:rPr>
      </w:pPr>
      <w:r>
        <w:rPr>
          <w:sz w:val="32"/>
        </w:rPr>
        <w:t>产品的现场搬运或入库；</w:t>
      </w:r>
    </w:p>
    <w:p>
      <w:pPr>
        <w:pStyle w:val="ListParagraph"/>
        <w:numPr>
          <w:ilvl w:val="0"/>
          <w:numId w:val="11"/>
        </w:numPr>
        <w:tabs>
          <w:tab w:pos="1798" w:val="left" w:leader="none"/>
        </w:tabs>
        <w:spacing w:line="240" w:lineRule="auto" w:before="181" w:after="0"/>
        <w:ind w:left="1797" w:right="0" w:hanging="802"/>
        <w:jc w:val="left"/>
        <w:rPr>
          <w:sz w:val="32"/>
        </w:rPr>
      </w:pPr>
      <w:r>
        <w:rPr>
          <w:sz w:val="32"/>
        </w:rPr>
        <w:t>提供产品开箱或分装的用具；</w:t>
      </w:r>
    </w:p>
    <w:p>
      <w:pPr>
        <w:pStyle w:val="ListParagraph"/>
        <w:numPr>
          <w:ilvl w:val="0"/>
          <w:numId w:val="11"/>
        </w:numPr>
        <w:tabs>
          <w:tab w:pos="1812" w:val="left" w:leader="none"/>
        </w:tabs>
        <w:spacing w:line="343" w:lineRule="auto" w:before="181" w:after="0"/>
        <w:ind w:left="369" w:right="382" w:firstLine="626"/>
        <w:jc w:val="left"/>
        <w:rPr>
          <w:sz w:val="32"/>
        </w:rPr>
      </w:pPr>
      <w:r>
        <w:rPr>
          <w:spacing w:val="12"/>
          <w:w w:val="95"/>
          <w:sz w:val="32"/>
        </w:rPr>
        <w:t>对开箱时发现的破损、近效期产品或其他不合格包 </w:t>
      </w:r>
      <w:r>
        <w:rPr>
          <w:sz w:val="32"/>
        </w:rPr>
        <w:t>装的产品及时更换；</w:t>
      </w:r>
    </w:p>
    <w:p>
      <w:pPr>
        <w:pStyle w:val="ListParagraph"/>
        <w:numPr>
          <w:ilvl w:val="0"/>
          <w:numId w:val="11"/>
        </w:numPr>
        <w:tabs>
          <w:tab w:pos="1812" w:val="left" w:leader="none"/>
        </w:tabs>
        <w:spacing w:line="345" w:lineRule="auto" w:before="6" w:after="0"/>
        <w:ind w:left="369" w:right="382" w:firstLine="626"/>
        <w:jc w:val="left"/>
        <w:rPr>
          <w:sz w:val="32"/>
        </w:rPr>
      </w:pPr>
      <w:r>
        <w:rPr>
          <w:spacing w:val="12"/>
          <w:w w:val="95"/>
          <w:sz w:val="32"/>
        </w:rPr>
        <w:t>在采购人指定地点为所供产品的临床应用进行现场 </w:t>
      </w:r>
      <w:r>
        <w:rPr>
          <w:sz w:val="32"/>
        </w:rPr>
        <w:t>讲解或培训；</w:t>
      </w:r>
    </w:p>
    <w:p>
      <w:pPr>
        <w:spacing w:after="0" w:line="345" w:lineRule="auto"/>
        <w:jc w:val="left"/>
        <w:rPr>
          <w:sz w:val="32"/>
        </w:rPr>
        <w:sectPr>
          <w:pgSz w:w="11910" w:h="16840"/>
          <w:pgMar w:header="0" w:footer="1302" w:top="1560" w:bottom="1500" w:left="1220" w:right="1160"/>
        </w:sectPr>
      </w:pPr>
    </w:p>
    <w:p>
      <w:pPr>
        <w:pStyle w:val="ListParagraph"/>
        <w:numPr>
          <w:ilvl w:val="0"/>
          <w:numId w:val="11"/>
        </w:numPr>
        <w:tabs>
          <w:tab w:pos="1798" w:val="left" w:leader="none"/>
        </w:tabs>
        <w:spacing w:line="240" w:lineRule="auto" w:before="50" w:after="0"/>
        <w:ind w:left="1797" w:right="0" w:hanging="802"/>
        <w:jc w:val="left"/>
        <w:rPr>
          <w:sz w:val="32"/>
        </w:rPr>
      </w:pPr>
      <w:r>
        <w:rPr>
          <w:sz w:val="32"/>
        </w:rPr>
        <w:t>其他供应商应提供的相关服务项目。</w:t>
      </w:r>
    </w:p>
    <w:p>
      <w:pPr>
        <w:pStyle w:val="ListParagraph"/>
        <w:numPr>
          <w:ilvl w:val="0"/>
          <w:numId w:val="10"/>
        </w:numPr>
        <w:tabs>
          <w:tab w:pos="1368" w:val="left" w:leader="none"/>
        </w:tabs>
        <w:spacing w:line="343" w:lineRule="auto" w:before="181" w:after="0"/>
        <w:ind w:left="369" w:right="383" w:firstLine="626"/>
        <w:jc w:val="both"/>
        <w:rPr>
          <w:sz w:val="32"/>
        </w:rPr>
      </w:pPr>
      <w:r>
        <w:rPr>
          <w:spacing w:val="3"/>
          <w:w w:val="95"/>
          <w:sz w:val="32"/>
        </w:rPr>
        <w:t>供应商应具备解决紧急问题的能力，如采购人在使用货 </w:t>
      </w:r>
      <w:r>
        <w:rPr>
          <w:spacing w:val="3"/>
          <w:sz w:val="32"/>
        </w:rPr>
        <w:t>物的过程中发现问题，供应商应及时到采购人现场解决。</w:t>
      </w:r>
    </w:p>
    <w:p>
      <w:pPr>
        <w:pStyle w:val="ListParagraph"/>
        <w:numPr>
          <w:ilvl w:val="0"/>
          <w:numId w:val="10"/>
        </w:numPr>
        <w:tabs>
          <w:tab w:pos="1490" w:val="left" w:leader="none"/>
        </w:tabs>
        <w:spacing w:line="345" w:lineRule="auto" w:before="6" w:after="0"/>
        <w:ind w:left="369" w:right="361" w:firstLine="626"/>
        <w:jc w:val="both"/>
        <w:rPr>
          <w:sz w:val="32"/>
        </w:rPr>
      </w:pPr>
      <w:r>
        <w:rPr>
          <w:spacing w:val="14"/>
          <w:w w:val="95"/>
          <w:sz w:val="32"/>
        </w:rPr>
        <w:t>如果供应商对可能发生的伴随服务需要收取费用，应 </w:t>
      </w:r>
      <w:r>
        <w:rPr>
          <w:sz w:val="32"/>
        </w:rPr>
        <w:t>在报价时予以注明。</w:t>
      </w:r>
    </w:p>
    <w:p>
      <w:pPr>
        <w:pStyle w:val="BodyText"/>
        <w:ind w:left="995"/>
      </w:pPr>
      <w:r>
        <w:rPr/>
        <w:t>（十二）质量保证及检验</w:t>
      </w:r>
    </w:p>
    <w:p>
      <w:pPr>
        <w:pStyle w:val="ListParagraph"/>
        <w:numPr>
          <w:ilvl w:val="0"/>
          <w:numId w:val="12"/>
        </w:numPr>
        <w:tabs>
          <w:tab w:pos="1368" w:val="left" w:leader="none"/>
        </w:tabs>
        <w:spacing w:line="345" w:lineRule="auto" w:before="181" w:after="0"/>
        <w:ind w:left="369" w:right="383" w:firstLine="626"/>
        <w:jc w:val="both"/>
        <w:rPr>
          <w:sz w:val="32"/>
        </w:rPr>
      </w:pPr>
      <w:r>
        <w:rPr>
          <w:spacing w:val="3"/>
          <w:w w:val="95"/>
          <w:sz w:val="32"/>
        </w:rPr>
        <w:t>按合同交付的产品质量应符合国家承认的相应标准，并 </w:t>
      </w:r>
      <w:r>
        <w:rPr>
          <w:spacing w:val="3"/>
          <w:sz w:val="32"/>
        </w:rPr>
        <w:t>与报价时承诺的质量相一致，以确保使用过程的安全有效。</w:t>
      </w:r>
    </w:p>
    <w:p>
      <w:pPr>
        <w:pStyle w:val="ListParagraph"/>
        <w:numPr>
          <w:ilvl w:val="0"/>
          <w:numId w:val="12"/>
        </w:numPr>
        <w:tabs>
          <w:tab w:pos="1368" w:val="left" w:leader="none"/>
        </w:tabs>
        <w:spacing w:line="345" w:lineRule="auto" w:before="0" w:after="0"/>
        <w:ind w:left="369" w:right="374" w:firstLine="626"/>
        <w:jc w:val="both"/>
        <w:rPr>
          <w:sz w:val="32"/>
        </w:rPr>
      </w:pPr>
      <w:r>
        <w:rPr>
          <w:spacing w:val="3"/>
          <w:w w:val="95"/>
          <w:sz w:val="32"/>
        </w:rPr>
        <w:t>如果采购人确认需要进行产品质量检验，应及时以书面 形式把质量检验的具体要求通知供应商。如果供应商同意进行 产品质量检验，或者通过检验证明产品存在质量问题，则进行 产品质量检验的费用由供应商承担。检验在供应商交货的最终 </w:t>
      </w:r>
      <w:r>
        <w:rPr>
          <w:sz w:val="32"/>
        </w:rPr>
        <w:t>目的地进行。</w:t>
      </w:r>
    </w:p>
    <w:p>
      <w:pPr>
        <w:pStyle w:val="ListParagraph"/>
        <w:numPr>
          <w:ilvl w:val="0"/>
          <w:numId w:val="12"/>
        </w:numPr>
        <w:tabs>
          <w:tab w:pos="1378" w:val="left" w:leader="none"/>
        </w:tabs>
        <w:spacing w:line="345" w:lineRule="auto" w:before="0" w:after="0"/>
        <w:ind w:left="369" w:right="356" w:firstLine="626"/>
        <w:jc w:val="both"/>
        <w:rPr>
          <w:sz w:val="32"/>
        </w:rPr>
      </w:pPr>
      <w:r>
        <w:rPr>
          <w:spacing w:val="10"/>
          <w:sz w:val="32"/>
        </w:rPr>
        <w:t>采购人在接收产品时</w:t>
      </w:r>
      <w:r>
        <w:rPr>
          <w:rFonts w:ascii="Times New Roman" w:eastAsia="Times New Roman"/>
          <w:sz w:val="32"/>
        </w:rPr>
        <w:t>,</w:t>
      </w:r>
      <w:r>
        <w:rPr>
          <w:spacing w:val="10"/>
          <w:sz w:val="32"/>
        </w:rPr>
        <w:t>应对产品进行验货确认</w:t>
      </w:r>
      <w:r>
        <w:rPr>
          <w:rFonts w:ascii="Times New Roman" w:eastAsia="Times New Roman"/>
          <w:sz w:val="32"/>
        </w:rPr>
        <w:t>,</w:t>
      </w:r>
      <w:r>
        <w:rPr>
          <w:spacing w:val="9"/>
          <w:sz w:val="32"/>
        </w:rPr>
        <w:t>对不符合</w:t>
      </w:r>
      <w:r>
        <w:rPr>
          <w:sz w:val="32"/>
        </w:rPr>
        <w:t>合同质量、数量、包装、标识等要求的</w:t>
      </w:r>
      <w:r>
        <w:rPr>
          <w:rFonts w:ascii="Times New Roman" w:eastAsia="Times New Roman"/>
          <w:sz w:val="32"/>
        </w:rPr>
        <w:t>,</w:t>
      </w:r>
      <w:r>
        <w:rPr>
          <w:sz w:val="32"/>
        </w:rPr>
        <w:t>采购人有权拒绝接受。供应商应及时提供合格的产品</w:t>
      </w:r>
      <w:r>
        <w:rPr>
          <w:rFonts w:ascii="Times New Roman" w:eastAsia="Times New Roman"/>
          <w:sz w:val="32"/>
        </w:rPr>
        <w:t>,</w:t>
      </w:r>
      <w:r>
        <w:rPr>
          <w:sz w:val="32"/>
        </w:rPr>
        <w:t>不得影响医疗机构的使用。由此</w:t>
      </w:r>
      <w:r>
        <w:rPr>
          <w:spacing w:val="18"/>
          <w:w w:val="95"/>
          <w:sz w:val="32"/>
        </w:rPr>
        <w:t>给采购人造成的损失，供应商应承担责任并赔偿相关直接损 </w:t>
      </w:r>
      <w:r>
        <w:rPr>
          <w:sz w:val="32"/>
        </w:rPr>
        <w:t>失。</w:t>
      </w:r>
    </w:p>
    <w:p>
      <w:pPr>
        <w:pStyle w:val="ListParagraph"/>
        <w:numPr>
          <w:ilvl w:val="0"/>
          <w:numId w:val="12"/>
        </w:numPr>
        <w:tabs>
          <w:tab w:pos="1368" w:val="left" w:leader="none"/>
        </w:tabs>
        <w:spacing w:line="345" w:lineRule="auto" w:before="0" w:after="0"/>
        <w:ind w:left="369" w:right="376" w:firstLine="626"/>
        <w:jc w:val="both"/>
        <w:rPr>
          <w:sz w:val="32"/>
        </w:rPr>
      </w:pPr>
      <w:r>
        <w:rPr>
          <w:spacing w:val="4"/>
          <w:w w:val="95"/>
          <w:sz w:val="32"/>
        </w:rPr>
        <w:t>采购人如果发现产品存在质量问题</w:t>
      </w:r>
      <w:r>
        <w:rPr>
          <w:spacing w:val="7"/>
          <w:w w:val="95"/>
          <w:sz w:val="32"/>
        </w:rPr>
        <w:t>（</w:t>
      </w:r>
      <w:r>
        <w:rPr>
          <w:spacing w:val="3"/>
          <w:w w:val="95"/>
          <w:sz w:val="32"/>
        </w:rPr>
        <w:t>有食药监管部门的</w:t>
      </w:r>
      <w:r>
        <w:rPr>
          <w:spacing w:val="2"/>
          <w:w w:val="99"/>
          <w:sz w:val="32"/>
        </w:rPr>
        <w:t>质</w:t>
      </w:r>
      <w:r>
        <w:rPr>
          <w:w w:val="99"/>
          <w:sz w:val="32"/>
        </w:rPr>
        <w:t>量公告</w:t>
      </w:r>
      <w:r>
        <w:rPr>
          <w:spacing w:val="-161"/>
          <w:w w:val="99"/>
          <w:sz w:val="32"/>
        </w:rPr>
        <w:t>）</w:t>
      </w:r>
      <w:r>
        <w:rPr>
          <w:w w:val="99"/>
          <w:sz w:val="32"/>
        </w:rPr>
        <w:t>，有权终止采购该产品。</w:t>
      </w:r>
    </w:p>
    <w:p>
      <w:pPr>
        <w:pStyle w:val="BodyText"/>
        <w:spacing w:line="408" w:lineRule="exact"/>
        <w:ind w:left="995"/>
      </w:pPr>
      <w:r>
        <w:rPr/>
        <w:t>（十三）供应商履约延误</w:t>
      </w:r>
    </w:p>
    <w:p>
      <w:pPr>
        <w:pStyle w:val="ListParagraph"/>
        <w:numPr>
          <w:ilvl w:val="0"/>
          <w:numId w:val="13"/>
        </w:numPr>
        <w:tabs>
          <w:tab w:pos="1368" w:val="left" w:leader="none"/>
        </w:tabs>
        <w:spacing w:line="345" w:lineRule="auto" w:before="176" w:after="0"/>
        <w:ind w:left="369" w:right="383" w:firstLine="626"/>
        <w:jc w:val="both"/>
        <w:rPr>
          <w:sz w:val="32"/>
        </w:rPr>
      </w:pPr>
      <w:r>
        <w:rPr>
          <w:spacing w:val="3"/>
          <w:w w:val="95"/>
          <w:sz w:val="32"/>
        </w:rPr>
        <w:t>供应商应按照合同中采购人规定的时间配送产品并提供 </w:t>
      </w:r>
      <w:r>
        <w:rPr>
          <w:spacing w:val="3"/>
          <w:sz w:val="32"/>
        </w:rPr>
        <w:t>伴随服务。</w:t>
      </w:r>
    </w:p>
    <w:p>
      <w:pPr>
        <w:spacing w:after="0" w:line="345" w:lineRule="auto"/>
        <w:jc w:val="both"/>
        <w:rPr>
          <w:sz w:val="32"/>
        </w:rPr>
        <w:sectPr>
          <w:pgSz w:w="11910" w:h="16840"/>
          <w:pgMar w:header="0" w:footer="1302" w:top="1560" w:bottom="1500" w:left="1220" w:right="1160"/>
        </w:sectPr>
      </w:pPr>
    </w:p>
    <w:p>
      <w:pPr>
        <w:pStyle w:val="ListParagraph"/>
        <w:numPr>
          <w:ilvl w:val="0"/>
          <w:numId w:val="13"/>
        </w:numPr>
        <w:tabs>
          <w:tab w:pos="1368" w:val="left" w:leader="none"/>
        </w:tabs>
        <w:spacing w:line="345" w:lineRule="auto" w:before="50" w:after="0"/>
        <w:ind w:left="369" w:right="355" w:firstLine="626"/>
        <w:jc w:val="both"/>
        <w:rPr>
          <w:sz w:val="32"/>
        </w:rPr>
      </w:pPr>
      <w:r>
        <w:rPr>
          <w:spacing w:val="3"/>
          <w:sz w:val="32"/>
        </w:rPr>
        <w:t>在履行合同的过程中，如果供应商遇到妨碍按时配送产</w:t>
      </w:r>
      <w:r>
        <w:rPr>
          <w:spacing w:val="18"/>
          <w:w w:val="95"/>
          <w:sz w:val="32"/>
        </w:rPr>
        <w:t>品和提供伴随服务的情况时，应及时以书面形式将拖延的事 </w:t>
      </w:r>
      <w:r>
        <w:rPr>
          <w:spacing w:val="3"/>
          <w:sz w:val="32"/>
        </w:rPr>
        <w:t>实、可能拖延的时间和原因通知采购人和管理机构。采购人或管理机构在收到供应商通知后，应尽快对情况进行核实，并由采购人确定是否酌情延长交货时间以及是否收取违约金或终止合同。延期应通过修改合同的方式由双方认可并重新签署。</w:t>
      </w:r>
    </w:p>
    <w:p>
      <w:pPr>
        <w:pStyle w:val="ListParagraph"/>
        <w:numPr>
          <w:ilvl w:val="0"/>
          <w:numId w:val="13"/>
        </w:numPr>
        <w:tabs>
          <w:tab w:pos="1368" w:val="left" w:leader="none"/>
        </w:tabs>
        <w:spacing w:line="345" w:lineRule="auto" w:before="0" w:after="0"/>
        <w:ind w:left="369" w:right="383" w:firstLine="626"/>
        <w:jc w:val="both"/>
        <w:rPr>
          <w:sz w:val="32"/>
        </w:rPr>
      </w:pPr>
      <w:r>
        <w:rPr>
          <w:spacing w:val="3"/>
          <w:w w:val="95"/>
          <w:sz w:val="32"/>
        </w:rPr>
        <w:t>如供应商无正当理由拖延交货，将受到以下制裁：加收 </w:t>
      </w:r>
      <w:r>
        <w:rPr>
          <w:spacing w:val="3"/>
          <w:sz w:val="32"/>
        </w:rPr>
        <w:t>误期赔偿费和（或）终止合同。</w:t>
      </w:r>
    </w:p>
    <w:p>
      <w:pPr>
        <w:pStyle w:val="BodyText"/>
        <w:spacing w:line="408" w:lineRule="exact"/>
        <w:ind w:left="995"/>
      </w:pPr>
      <w:r>
        <w:rPr/>
        <w:t>（十四）误期赔偿</w:t>
      </w:r>
    </w:p>
    <w:p>
      <w:pPr>
        <w:pStyle w:val="ListParagraph"/>
        <w:numPr>
          <w:ilvl w:val="0"/>
          <w:numId w:val="14"/>
        </w:numPr>
        <w:tabs>
          <w:tab w:pos="1368" w:val="left" w:leader="none"/>
        </w:tabs>
        <w:spacing w:line="345" w:lineRule="auto" w:before="179" w:after="0"/>
        <w:ind w:left="369" w:right="379" w:firstLine="626"/>
        <w:jc w:val="both"/>
        <w:rPr>
          <w:sz w:val="32"/>
        </w:rPr>
      </w:pPr>
      <w:r>
        <w:rPr>
          <w:spacing w:val="3"/>
          <w:w w:val="95"/>
          <w:sz w:val="32"/>
        </w:rPr>
        <w:t>除本合同条款第十三条规定的情况外，如果供应商没有 按照合同规定的时间配送产品并提供伴随服务，采购人应从货 款中扣除双方约定的违约金，但应不影响本合同项下的其它补 </w:t>
      </w:r>
      <w:r>
        <w:rPr>
          <w:spacing w:val="3"/>
          <w:sz w:val="32"/>
        </w:rPr>
        <w:t>救办法。</w:t>
      </w:r>
    </w:p>
    <w:p>
      <w:pPr>
        <w:pStyle w:val="ListParagraph"/>
        <w:numPr>
          <w:ilvl w:val="0"/>
          <w:numId w:val="14"/>
        </w:numPr>
        <w:tabs>
          <w:tab w:pos="1315" w:val="left" w:leader="none"/>
        </w:tabs>
        <w:spacing w:line="240" w:lineRule="auto" w:before="1" w:after="0"/>
        <w:ind w:left="1314" w:right="0" w:hanging="319"/>
        <w:jc w:val="left"/>
        <w:rPr>
          <w:sz w:val="32"/>
        </w:rPr>
      </w:pPr>
      <w:r>
        <w:rPr>
          <w:sz w:val="32"/>
        </w:rPr>
        <w:t>供应商在支付违约金后，还应当履行应尽的交货义务。</w:t>
      </w:r>
    </w:p>
    <w:p>
      <w:pPr>
        <w:pStyle w:val="BodyText"/>
        <w:spacing w:before="178"/>
        <w:ind w:left="995"/>
      </w:pPr>
      <w:r>
        <w:rPr/>
        <w:t>（十五）采购人履约义务</w:t>
      </w:r>
    </w:p>
    <w:p>
      <w:pPr>
        <w:pStyle w:val="ListParagraph"/>
        <w:numPr>
          <w:ilvl w:val="0"/>
          <w:numId w:val="15"/>
        </w:numPr>
        <w:tabs>
          <w:tab w:pos="1354" w:val="left" w:leader="none"/>
        </w:tabs>
        <w:spacing w:line="345" w:lineRule="auto" w:before="180" w:after="0"/>
        <w:ind w:left="369" w:right="374" w:firstLine="626"/>
        <w:jc w:val="both"/>
        <w:rPr>
          <w:sz w:val="32"/>
        </w:rPr>
      </w:pPr>
      <w:r>
        <w:rPr>
          <w:spacing w:val="-4"/>
          <w:sz w:val="32"/>
        </w:rPr>
        <w:t>采购人必须无条件采购本合同项下的品种。 供应商无违</w:t>
      </w:r>
      <w:r>
        <w:rPr>
          <w:sz w:val="32"/>
        </w:rPr>
        <w:t>约行为</w:t>
      </w:r>
      <w:r>
        <w:rPr>
          <w:rFonts w:ascii="Times New Roman" w:eastAsia="Times New Roman"/>
          <w:sz w:val="32"/>
        </w:rPr>
        <w:t>,</w:t>
      </w:r>
      <w:r>
        <w:rPr>
          <w:sz w:val="32"/>
        </w:rPr>
        <w:t>采购人不得以任何理由采购其它品牌的产品替代。</w:t>
      </w:r>
    </w:p>
    <w:p>
      <w:pPr>
        <w:pStyle w:val="ListParagraph"/>
        <w:numPr>
          <w:ilvl w:val="0"/>
          <w:numId w:val="15"/>
        </w:numPr>
        <w:tabs>
          <w:tab w:pos="1368" w:val="left" w:leader="none"/>
        </w:tabs>
        <w:spacing w:line="345" w:lineRule="auto" w:before="0" w:after="0"/>
        <w:ind w:left="369" w:right="383" w:firstLine="626"/>
        <w:jc w:val="both"/>
        <w:rPr>
          <w:sz w:val="32"/>
        </w:rPr>
      </w:pPr>
      <w:r>
        <w:rPr>
          <w:spacing w:val="3"/>
          <w:w w:val="95"/>
          <w:sz w:val="32"/>
        </w:rPr>
        <w:t>采购人须按照合同规定及时结算货款。指定结算银行的 </w:t>
      </w:r>
      <w:r>
        <w:rPr>
          <w:spacing w:val="3"/>
          <w:sz w:val="32"/>
        </w:rPr>
        <w:t>采购人，不得以任何理由干涉结算银行的正常结算行为。</w:t>
      </w:r>
    </w:p>
    <w:p>
      <w:pPr>
        <w:pStyle w:val="ListParagraph"/>
        <w:numPr>
          <w:ilvl w:val="0"/>
          <w:numId w:val="15"/>
        </w:numPr>
        <w:tabs>
          <w:tab w:pos="1368" w:val="left" w:leader="none"/>
        </w:tabs>
        <w:spacing w:line="343" w:lineRule="auto" w:before="1" w:after="0"/>
        <w:ind w:left="369" w:right="383" w:firstLine="626"/>
        <w:jc w:val="both"/>
        <w:rPr>
          <w:sz w:val="32"/>
        </w:rPr>
      </w:pPr>
      <w:r>
        <w:rPr>
          <w:spacing w:val="3"/>
          <w:w w:val="95"/>
          <w:sz w:val="32"/>
        </w:rPr>
        <w:t>采购人必须要求供应商按实际价格如实开具发票，并如 </w:t>
      </w:r>
      <w:r>
        <w:rPr>
          <w:spacing w:val="3"/>
          <w:sz w:val="32"/>
        </w:rPr>
        <w:t>实记帐。</w:t>
      </w:r>
    </w:p>
    <w:p>
      <w:pPr>
        <w:pStyle w:val="ListParagraph"/>
        <w:numPr>
          <w:ilvl w:val="0"/>
          <w:numId w:val="15"/>
        </w:numPr>
        <w:tabs>
          <w:tab w:pos="1368" w:val="left" w:leader="none"/>
        </w:tabs>
        <w:spacing w:line="345" w:lineRule="auto" w:before="5" w:after="0"/>
        <w:ind w:left="369" w:right="374" w:firstLine="626"/>
        <w:jc w:val="both"/>
        <w:rPr>
          <w:sz w:val="32"/>
        </w:rPr>
      </w:pPr>
      <w:r>
        <w:rPr>
          <w:spacing w:val="3"/>
          <w:w w:val="95"/>
          <w:sz w:val="32"/>
        </w:rPr>
        <w:t>如采购人不履行上述合同义务，按双方约定支付滞纳金 </w:t>
      </w:r>
      <w:r>
        <w:rPr>
          <w:spacing w:val="3"/>
          <w:sz w:val="32"/>
        </w:rPr>
        <w:t>或终止合同。</w:t>
      </w:r>
    </w:p>
    <w:p>
      <w:pPr>
        <w:spacing w:after="0" w:line="345" w:lineRule="auto"/>
        <w:jc w:val="both"/>
        <w:rPr>
          <w:sz w:val="32"/>
        </w:rPr>
        <w:sectPr>
          <w:pgSz w:w="11910" w:h="16840"/>
          <w:pgMar w:header="0" w:footer="1302" w:top="1560" w:bottom="1500" w:left="1220" w:right="1160"/>
        </w:sectPr>
      </w:pPr>
    </w:p>
    <w:p>
      <w:pPr>
        <w:pStyle w:val="BodyText"/>
        <w:spacing w:before="30"/>
        <w:ind w:left="995"/>
      </w:pPr>
      <w:r>
        <w:rPr/>
        <w:t>（十六）不可抗力</w:t>
      </w:r>
    </w:p>
    <w:p>
      <w:pPr>
        <w:pStyle w:val="ListParagraph"/>
        <w:numPr>
          <w:ilvl w:val="0"/>
          <w:numId w:val="16"/>
        </w:numPr>
        <w:tabs>
          <w:tab w:pos="1368" w:val="left" w:leader="none"/>
        </w:tabs>
        <w:spacing w:line="343" w:lineRule="auto" w:before="181" w:after="0"/>
        <w:ind w:left="369" w:right="383" w:firstLine="626"/>
        <w:jc w:val="both"/>
        <w:rPr>
          <w:sz w:val="32"/>
        </w:rPr>
      </w:pPr>
      <w:r>
        <w:rPr>
          <w:spacing w:val="3"/>
          <w:w w:val="95"/>
          <w:sz w:val="32"/>
        </w:rPr>
        <w:t>供应商因不可抗力而导致合同实施延误或不能履行合同 </w:t>
      </w:r>
      <w:r>
        <w:rPr>
          <w:spacing w:val="3"/>
          <w:sz w:val="32"/>
        </w:rPr>
        <w:t>义务，不应该承担误期赔偿的责任。</w:t>
      </w:r>
    </w:p>
    <w:p>
      <w:pPr>
        <w:pStyle w:val="ListParagraph"/>
        <w:numPr>
          <w:ilvl w:val="0"/>
          <w:numId w:val="16"/>
        </w:numPr>
        <w:tabs>
          <w:tab w:pos="1370" w:val="left" w:leader="none"/>
        </w:tabs>
        <w:spacing w:line="345" w:lineRule="auto" w:before="6" w:after="0"/>
        <w:ind w:left="369" w:right="377" w:firstLine="626"/>
        <w:jc w:val="both"/>
        <w:rPr>
          <w:sz w:val="32"/>
        </w:rPr>
      </w:pPr>
      <w:r>
        <w:rPr>
          <w:spacing w:val="5"/>
          <w:w w:val="95"/>
          <w:sz w:val="32"/>
        </w:rPr>
        <w:t>本条所述的</w:t>
      </w:r>
      <w:r>
        <w:rPr>
          <w:rFonts w:ascii="Times New Roman" w:hAnsi="Times New Roman" w:eastAsia="Times New Roman"/>
          <w:w w:val="95"/>
          <w:sz w:val="32"/>
        </w:rPr>
        <w:t>“</w:t>
      </w:r>
      <w:r>
        <w:rPr>
          <w:spacing w:val="5"/>
          <w:w w:val="95"/>
          <w:sz w:val="32"/>
        </w:rPr>
        <w:t>不可抗力</w:t>
      </w:r>
      <w:r>
        <w:rPr>
          <w:rFonts w:ascii="Times New Roman" w:hAnsi="Times New Roman" w:eastAsia="Times New Roman"/>
          <w:w w:val="95"/>
          <w:sz w:val="32"/>
        </w:rPr>
        <w:t>”</w:t>
      </w:r>
      <w:r>
        <w:rPr>
          <w:spacing w:val="5"/>
          <w:w w:val="95"/>
          <w:sz w:val="32"/>
        </w:rPr>
        <w:t>是指供应商无法控制、不可预见 </w:t>
      </w:r>
      <w:r>
        <w:rPr>
          <w:spacing w:val="6"/>
          <w:w w:val="95"/>
          <w:sz w:val="32"/>
        </w:rPr>
        <w:t>的事件</w:t>
      </w:r>
      <w:r>
        <w:rPr>
          <w:spacing w:val="7"/>
          <w:w w:val="95"/>
          <w:sz w:val="32"/>
        </w:rPr>
        <w:t>（</w:t>
      </w:r>
      <w:r>
        <w:rPr>
          <w:spacing w:val="3"/>
          <w:w w:val="95"/>
          <w:sz w:val="32"/>
        </w:rPr>
        <w:t>包括但不限于：战争、严重火灾、洪水、台风、地震</w:t>
      </w:r>
      <w:r>
        <w:rPr>
          <w:spacing w:val="2"/>
          <w:w w:val="99"/>
          <w:sz w:val="32"/>
        </w:rPr>
        <w:t>及</w:t>
      </w:r>
      <w:r>
        <w:rPr>
          <w:w w:val="99"/>
          <w:sz w:val="32"/>
        </w:rPr>
        <w:t>其他双方商定的事件</w:t>
      </w:r>
      <w:r>
        <w:rPr>
          <w:spacing w:val="-161"/>
          <w:w w:val="99"/>
          <w:sz w:val="32"/>
        </w:rPr>
        <w:t>）</w:t>
      </w:r>
      <w:r>
        <w:rPr>
          <w:w w:val="99"/>
          <w:sz w:val="32"/>
        </w:rPr>
        <w:t>，但不包括供应商的违约或疏忽。</w:t>
      </w:r>
    </w:p>
    <w:p>
      <w:pPr>
        <w:pStyle w:val="ListParagraph"/>
        <w:numPr>
          <w:ilvl w:val="0"/>
          <w:numId w:val="16"/>
        </w:numPr>
        <w:tabs>
          <w:tab w:pos="1368" w:val="left" w:leader="none"/>
        </w:tabs>
        <w:spacing w:line="345" w:lineRule="auto" w:before="0" w:after="0"/>
        <w:ind w:left="369" w:right="356" w:firstLine="626"/>
        <w:jc w:val="both"/>
        <w:rPr>
          <w:sz w:val="32"/>
        </w:rPr>
      </w:pPr>
      <w:r>
        <w:rPr>
          <w:spacing w:val="3"/>
          <w:sz w:val="32"/>
        </w:rPr>
        <w:t>在不可抗力事件发生后，供应商应尽快以书面形式将不可抗力的情况和原因通知采购人。除采购人另行要求外，供应商应尽实际可能继续履行合同义务，以及寻求采取合理的方案</w:t>
      </w:r>
      <w:r>
        <w:rPr>
          <w:spacing w:val="18"/>
          <w:w w:val="95"/>
          <w:sz w:val="32"/>
        </w:rPr>
        <w:t>履行不受不可抗力影响的其他事项。不可抗力事件影响消除 </w:t>
      </w:r>
      <w:r>
        <w:rPr>
          <w:spacing w:val="3"/>
          <w:w w:val="95"/>
          <w:sz w:val="32"/>
        </w:rPr>
        <w:t>后，双方可通过协商在合理的时间内达成进一步履行合同的协 </w:t>
      </w:r>
      <w:r>
        <w:rPr>
          <w:spacing w:val="3"/>
          <w:sz w:val="32"/>
        </w:rPr>
        <w:t>议。</w:t>
      </w:r>
    </w:p>
    <w:p>
      <w:pPr>
        <w:pStyle w:val="BodyText"/>
        <w:spacing w:line="408" w:lineRule="exact"/>
        <w:ind w:left="995"/>
      </w:pPr>
      <w:r>
        <w:rPr/>
        <w:t>（十七）争议的解决</w:t>
      </w:r>
    </w:p>
    <w:p>
      <w:pPr>
        <w:pStyle w:val="BodyText"/>
        <w:spacing w:line="345" w:lineRule="auto" w:before="181"/>
        <w:ind w:right="356" w:firstLine="626"/>
        <w:jc w:val="both"/>
      </w:pPr>
      <w:r>
        <w:rPr>
          <w:spacing w:val="7"/>
          <w:w w:val="95"/>
        </w:rPr>
        <w:t>因合同引起的或与本合同有关的任何争议，由双方当事人 </w:t>
      </w:r>
      <w:r>
        <w:rPr>
          <w:spacing w:val="3"/>
        </w:rPr>
        <w:t>协商解决；也可以向有关部门申请调解。协商或调解不成，当</w:t>
      </w:r>
      <w:r>
        <w:rPr>
          <w:spacing w:val="18"/>
          <w:w w:val="95"/>
        </w:rPr>
        <w:t>事人可依照有关法律规定将争议提交仲裁，或向人民法院起 </w:t>
      </w:r>
      <w:r>
        <w:rPr/>
        <w:t>诉。</w:t>
      </w:r>
    </w:p>
    <w:p>
      <w:pPr>
        <w:pStyle w:val="BodyText"/>
        <w:spacing w:line="408" w:lineRule="exact"/>
        <w:ind w:left="995"/>
      </w:pPr>
      <w:r>
        <w:rPr/>
        <w:t>（十八）违约终止合同</w:t>
      </w:r>
    </w:p>
    <w:p>
      <w:pPr>
        <w:pStyle w:val="ListParagraph"/>
        <w:numPr>
          <w:ilvl w:val="0"/>
          <w:numId w:val="17"/>
        </w:numPr>
        <w:tabs>
          <w:tab w:pos="1368" w:val="left" w:leader="none"/>
        </w:tabs>
        <w:spacing w:line="345" w:lineRule="auto" w:before="181" w:after="0"/>
        <w:ind w:left="369" w:right="382" w:firstLine="626"/>
        <w:jc w:val="both"/>
        <w:rPr>
          <w:sz w:val="32"/>
        </w:rPr>
      </w:pPr>
      <w:r>
        <w:rPr>
          <w:spacing w:val="3"/>
          <w:w w:val="95"/>
          <w:sz w:val="32"/>
        </w:rPr>
        <w:t>在采购人对供应商因违约而采取的任何补救措施不受影 响的情况下，可向供应商发出书面通知书，提出部分或全部终 </w:t>
      </w:r>
      <w:r>
        <w:rPr>
          <w:sz w:val="32"/>
        </w:rPr>
        <w:t>止合同。</w:t>
      </w:r>
    </w:p>
    <w:p>
      <w:pPr>
        <w:pStyle w:val="ListParagraph"/>
        <w:numPr>
          <w:ilvl w:val="0"/>
          <w:numId w:val="18"/>
        </w:numPr>
        <w:tabs>
          <w:tab w:pos="1822" w:val="left" w:leader="none"/>
        </w:tabs>
        <w:spacing w:line="345" w:lineRule="auto" w:before="117" w:after="0"/>
        <w:ind w:left="369" w:right="424" w:firstLine="641"/>
        <w:jc w:val="both"/>
        <w:rPr>
          <w:sz w:val="32"/>
        </w:rPr>
      </w:pPr>
      <w:r>
        <w:rPr>
          <w:spacing w:val="10"/>
          <w:w w:val="95"/>
          <w:sz w:val="32"/>
        </w:rPr>
        <w:t>如果供应商未能在合同规定的限期或采购人同意延 </w:t>
      </w:r>
      <w:r>
        <w:rPr>
          <w:spacing w:val="10"/>
          <w:sz w:val="32"/>
        </w:rPr>
        <w:t>长的限期内提供部分或全部产品；</w:t>
      </w:r>
    </w:p>
    <w:p>
      <w:pPr>
        <w:spacing w:after="0" w:line="345" w:lineRule="auto"/>
        <w:jc w:val="both"/>
        <w:rPr>
          <w:sz w:val="32"/>
        </w:rPr>
        <w:sectPr>
          <w:pgSz w:w="11910" w:h="16840"/>
          <w:pgMar w:header="0" w:footer="1302" w:top="1580" w:bottom="1500" w:left="1220" w:right="1160"/>
        </w:sectPr>
      </w:pPr>
    </w:p>
    <w:p>
      <w:pPr>
        <w:pStyle w:val="ListParagraph"/>
        <w:numPr>
          <w:ilvl w:val="0"/>
          <w:numId w:val="18"/>
        </w:numPr>
        <w:tabs>
          <w:tab w:pos="1798" w:val="left" w:leader="none"/>
        </w:tabs>
        <w:spacing w:line="240" w:lineRule="auto" w:before="50" w:after="0"/>
        <w:ind w:left="1797" w:right="0" w:hanging="802"/>
        <w:jc w:val="left"/>
        <w:rPr>
          <w:sz w:val="32"/>
        </w:rPr>
      </w:pPr>
      <w:r>
        <w:rPr>
          <w:sz w:val="32"/>
        </w:rPr>
        <w:t>如果供应商未能履行合同规定的其它义务；</w:t>
      </w:r>
    </w:p>
    <w:p>
      <w:pPr>
        <w:pStyle w:val="ListParagraph"/>
        <w:numPr>
          <w:ilvl w:val="0"/>
          <w:numId w:val="18"/>
        </w:numPr>
        <w:tabs>
          <w:tab w:pos="1812" w:val="left" w:leader="none"/>
        </w:tabs>
        <w:spacing w:line="343" w:lineRule="auto" w:before="181" w:after="0"/>
        <w:ind w:left="369" w:right="382" w:firstLine="626"/>
        <w:jc w:val="left"/>
        <w:rPr>
          <w:sz w:val="32"/>
        </w:rPr>
      </w:pPr>
      <w:r>
        <w:rPr>
          <w:spacing w:val="12"/>
          <w:w w:val="95"/>
          <w:sz w:val="32"/>
        </w:rPr>
        <w:t>如果采购人认定供应商在本合同的实施过程中有严 </w:t>
      </w:r>
      <w:r>
        <w:rPr>
          <w:sz w:val="32"/>
        </w:rPr>
        <w:t>重违法行为。</w:t>
      </w:r>
    </w:p>
    <w:p>
      <w:pPr>
        <w:pStyle w:val="ListParagraph"/>
        <w:numPr>
          <w:ilvl w:val="0"/>
          <w:numId w:val="17"/>
        </w:numPr>
        <w:tabs>
          <w:tab w:pos="1368" w:val="left" w:leader="none"/>
        </w:tabs>
        <w:spacing w:line="345" w:lineRule="auto" w:before="6" w:after="0"/>
        <w:ind w:left="369" w:right="383" w:firstLine="626"/>
        <w:jc w:val="left"/>
        <w:rPr>
          <w:sz w:val="32"/>
        </w:rPr>
      </w:pPr>
      <w:r>
        <w:rPr>
          <w:spacing w:val="3"/>
          <w:w w:val="95"/>
          <w:sz w:val="32"/>
        </w:rPr>
        <w:t>如果采购人根据上述规定，终止了全部或部分合同，采 </w:t>
      </w:r>
      <w:r>
        <w:rPr>
          <w:spacing w:val="3"/>
          <w:sz w:val="32"/>
        </w:rPr>
        <w:t>购人可按规定选择采购目录内的其他产品。</w:t>
      </w:r>
    </w:p>
    <w:p>
      <w:pPr>
        <w:pStyle w:val="ListParagraph"/>
        <w:numPr>
          <w:ilvl w:val="0"/>
          <w:numId w:val="17"/>
        </w:numPr>
        <w:tabs>
          <w:tab w:pos="1368" w:val="left" w:leader="none"/>
        </w:tabs>
        <w:spacing w:line="345" w:lineRule="auto" w:before="0" w:after="0"/>
        <w:ind w:left="369" w:right="379" w:firstLine="626"/>
        <w:jc w:val="both"/>
        <w:rPr>
          <w:sz w:val="32"/>
        </w:rPr>
      </w:pPr>
      <w:r>
        <w:rPr>
          <w:spacing w:val="3"/>
          <w:w w:val="95"/>
          <w:sz w:val="32"/>
        </w:rPr>
        <w:t>如采购人未按合同的规定按时结算货款，供应商有权要 求采购人支付双方约定的滞纳金并承担相应的违约责任直至终 </w:t>
      </w:r>
      <w:r>
        <w:rPr>
          <w:sz w:val="32"/>
        </w:rPr>
        <w:t>止合同。</w:t>
      </w:r>
    </w:p>
    <w:p>
      <w:pPr>
        <w:pStyle w:val="BodyText"/>
        <w:spacing w:line="408" w:lineRule="exact"/>
        <w:ind w:left="995"/>
      </w:pPr>
      <w:r>
        <w:rPr/>
        <w:t>（十九）破产终止合同</w:t>
      </w:r>
    </w:p>
    <w:p>
      <w:pPr>
        <w:pStyle w:val="BodyText"/>
        <w:spacing w:line="345" w:lineRule="auto" w:before="180"/>
        <w:ind w:right="368" w:firstLine="626"/>
        <w:jc w:val="both"/>
      </w:pPr>
      <w:r>
        <w:rPr>
          <w:spacing w:val="6"/>
          <w:w w:val="95"/>
        </w:rPr>
        <w:t>如果供应商破产或无清偿能力，采购人可在任何时候以书 </w:t>
      </w:r>
      <w:r>
        <w:rPr>
          <w:spacing w:val="3"/>
          <w:w w:val="95"/>
        </w:rPr>
        <w:t>面形式通知供应商，提出终止合同而不给供应商补偿。该终止 合同将不损害或影响采购人已经采取或将要采取的任何行动或 </w:t>
      </w:r>
      <w:r>
        <w:rPr>
          <w:spacing w:val="3"/>
        </w:rPr>
        <w:t>补救措施的权利。</w:t>
      </w:r>
    </w:p>
    <w:p>
      <w:pPr>
        <w:pStyle w:val="BodyText"/>
        <w:spacing w:before="1"/>
        <w:ind w:left="995"/>
      </w:pPr>
      <w:r>
        <w:rPr/>
        <w:t>（二十）转让和分包</w:t>
      </w:r>
    </w:p>
    <w:p>
      <w:pPr>
        <w:pStyle w:val="BodyText"/>
        <w:spacing w:line="345" w:lineRule="auto" w:before="178"/>
        <w:ind w:right="368" w:firstLine="626"/>
      </w:pPr>
      <w:r>
        <w:rPr>
          <w:spacing w:val="6"/>
          <w:w w:val="95"/>
        </w:rPr>
        <w:t>除非采购人事先书面同意，供应商不得部分或全部转让其 </w:t>
      </w:r>
      <w:r>
        <w:rPr/>
        <w:t>应履行的合同。</w:t>
      </w:r>
    </w:p>
    <w:p>
      <w:pPr>
        <w:pStyle w:val="BodyText"/>
        <w:ind w:left="995"/>
      </w:pPr>
      <w:r>
        <w:rPr/>
        <w:t>（二十一）适用法律</w:t>
      </w:r>
    </w:p>
    <w:p>
      <w:pPr>
        <w:pStyle w:val="BodyText"/>
        <w:spacing w:line="345" w:lineRule="auto" w:before="180"/>
        <w:ind w:right="368" w:firstLine="626"/>
      </w:pPr>
      <w:r>
        <w:rPr>
          <w:spacing w:val="6"/>
          <w:w w:val="95"/>
        </w:rPr>
        <w:t>本合同应按照中华人民共和国现行法律、法规和规章进行 </w:t>
      </w:r>
      <w:r>
        <w:rPr/>
        <w:t>解释。</w:t>
      </w:r>
    </w:p>
    <w:p>
      <w:pPr>
        <w:pStyle w:val="BodyText"/>
        <w:spacing w:before="1"/>
        <w:ind w:left="995"/>
      </w:pPr>
      <w:r>
        <w:rPr/>
        <w:t>（二十二）合同生效</w:t>
      </w:r>
    </w:p>
    <w:p>
      <w:pPr>
        <w:pStyle w:val="BodyText"/>
        <w:spacing w:before="178"/>
        <w:ind w:left="995"/>
      </w:pPr>
      <w:r>
        <w:rPr/>
        <w:t>本合同条款在双方签字后生效。</w:t>
      </w:r>
    </w:p>
    <w:p>
      <w:pPr>
        <w:pStyle w:val="BodyText"/>
        <w:spacing w:before="180"/>
        <w:ind w:left="995"/>
      </w:pPr>
      <w:r>
        <w:rPr>
          <w:w w:val="95"/>
        </w:rPr>
        <w:t>（二十三）主导语言</w:t>
      </w:r>
    </w:p>
    <w:p>
      <w:pPr>
        <w:pStyle w:val="BodyText"/>
        <w:spacing w:before="180"/>
        <w:ind w:left="995"/>
      </w:pPr>
      <w:r>
        <w:rPr>
          <w:w w:val="95"/>
        </w:rPr>
        <w:t>本合同以中文书写。</w:t>
      </w:r>
    </w:p>
    <w:p>
      <w:pPr>
        <w:spacing w:after="0"/>
        <w:sectPr>
          <w:pgSz w:w="11910" w:h="16840"/>
          <w:pgMar w:header="0" w:footer="1302" w:top="1560" w:bottom="1500" w:left="1220" w:right="1160"/>
        </w:sectPr>
      </w:pPr>
    </w:p>
    <w:p>
      <w:pPr>
        <w:pStyle w:val="BodyText"/>
        <w:spacing w:before="30"/>
        <w:ind w:left="995"/>
      </w:pPr>
      <w:r>
        <w:rPr/>
        <w:t>（二十四）合同修改</w:t>
      </w:r>
    </w:p>
    <w:p>
      <w:pPr>
        <w:pStyle w:val="BodyText"/>
        <w:spacing w:line="345" w:lineRule="auto" w:before="181"/>
        <w:ind w:right="368" w:firstLine="626"/>
        <w:jc w:val="both"/>
      </w:pPr>
      <w:r>
        <w:rPr>
          <w:spacing w:val="6"/>
          <w:w w:val="95"/>
        </w:rPr>
        <w:t>除供应商与医疗机构在协商自愿的基础上可以签订统一格 </w:t>
      </w:r>
      <w:r>
        <w:rPr>
          <w:spacing w:val="3"/>
          <w:w w:val="95"/>
        </w:rPr>
        <w:t>式的购销合同以外的补充条款之外，本合同的条款不得有任何 </w:t>
      </w:r>
      <w:r>
        <w:rPr>
          <w:spacing w:val="3"/>
        </w:rPr>
        <w:t>变化或修改。</w:t>
      </w:r>
    </w:p>
    <w:p>
      <w:pPr>
        <w:pStyle w:val="BodyText"/>
        <w:spacing w:line="408" w:lineRule="exact"/>
        <w:ind w:left="995"/>
      </w:pPr>
      <w:r>
        <w:rPr/>
        <w:t>（二十五）适用范围</w:t>
      </w:r>
    </w:p>
    <w:p>
      <w:pPr>
        <w:pStyle w:val="BodyText"/>
        <w:spacing w:line="345" w:lineRule="auto" w:before="180"/>
        <w:ind w:right="367" w:firstLine="626"/>
      </w:pPr>
      <w:r>
        <w:rPr>
          <w:spacing w:val="6"/>
          <w:w w:val="95"/>
        </w:rPr>
        <w:t>本合同条款适用于参加本次扬州市医疗机构医用耗材集中 </w:t>
      </w:r>
      <w:r>
        <w:rPr/>
        <w:t>采购的各方当事人。</w:t>
      </w:r>
    </w:p>
    <w:p>
      <w:pPr>
        <w:spacing w:after="0" w:line="345" w:lineRule="auto"/>
        <w:sectPr>
          <w:pgSz w:w="11910" w:h="16840"/>
          <w:pgMar w:header="0" w:footer="1302" w:top="1580" w:bottom="1500" w:left="1220" w:right="1160"/>
        </w:sectPr>
      </w:pPr>
    </w:p>
    <w:p>
      <w:pPr>
        <w:pStyle w:val="BodyText"/>
        <w:spacing w:before="49"/>
      </w:pPr>
      <w:r>
        <w:rPr>
          <w:spacing w:val="-27"/>
        </w:rPr>
        <w:t>附件 </w:t>
      </w:r>
      <w:r>
        <w:rPr>
          <w:rFonts w:ascii="Times New Roman" w:eastAsia="Times New Roman"/>
        </w:rPr>
        <w:t>6</w:t>
      </w:r>
      <w:r>
        <w:rPr/>
        <w:t>：</w:t>
      </w:r>
    </w:p>
    <w:p>
      <w:pPr>
        <w:pStyle w:val="BodyText"/>
        <w:ind w:left="0"/>
      </w:pPr>
      <w:r>
        <w:rPr/>
        <w:br w:type="column"/>
      </w:r>
      <w:r>
        <w:rPr/>
      </w:r>
    </w:p>
    <w:p>
      <w:pPr>
        <w:spacing w:before="250"/>
        <w:ind w:left="352" w:right="2506" w:firstLine="0"/>
        <w:jc w:val="center"/>
        <w:rPr>
          <w:sz w:val="28"/>
        </w:rPr>
      </w:pPr>
      <w:r>
        <w:rPr>
          <w:sz w:val="28"/>
        </w:rPr>
        <w:t>医疗卫生机构医药产品廉洁购销合同</w:t>
      </w:r>
    </w:p>
    <w:p>
      <w:pPr>
        <w:spacing w:before="121"/>
        <w:ind w:left="350" w:right="2506" w:firstLine="0"/>
        <w:jc w:val="center"/>
        <w:rPr>
          <w:sz w:val="28"/>
        </w:rPr>
      </w:pPr>
      <w:r>
        <w:rPr>
          <w:sz w:val="28"/>
        </w:rPr>
        <w:t>（样本）</w:t>
      </w:r>
    </w:p>
    <w:p>
      <w:pPr>
        <w:spacing w:after="0"/>
        <w:jc w:val="center"/>
        <w:rPr>
          <w:sz w:val="28"/>
        </w:rPr>
        <w:sectPr>
          <w:pgSz w:w="11910" w:h="16840"/>
          <w:pgMar w:header="0" w:footer="1302" w:top="1420" w:bottom="1500" w:left="1220" w:right="1160"/>
          <w:cols w:num="2" w:equalWidth="0">
            <w:col w:w="1610" w:space="541"/>
            <w:col w:w="7379"/>
          </w:cols>
        </w:sectPr>
      </w:pPr>
    </w:p>
    <w:p>
      <w:pPr>
        <w:pStyle w:val="BodyText"/>
        <w:spacing w:before="113"/>
        <w:rPr>
          <w:rFonts w:ascii="仿宋" w:eastAsia="仿宋" w:hint="eastAsia"/>
        </w:rPr>
      </w:pPr>
      <w:r>
        <w:rPr>
          <w:rFonts w:ascii="仿宋" w:eastAsia="仿宋" w:hint="eastAsia"/>
          <w:spacing w:val="1"/>
          <w:w w:val="99"/>
        </w:rPr>
        <w:t>甲方</w:t>
      </w:r>
      <w:r>
        <w:rPr>
          <w:rFonts w:ascii="仿宋" w:eastAsia="仿宋" w:hint="eastAsia"/>
          <w:w w:val="99"/>
        </w:rPr>
        <w:t>（医疗卫生机构</w:t>
      </w:r>
      <w:r>
        <w:rPr>
          <w:rFonts w:ascii="仿宋" w:eastAsia="仿宋" w:hint="eastAsia"/>
          <w:spacing w:val="-159"/>
          <w:w w:val="99"/>
        </w:rPr>
        <w:t>）</w:t>
      </w:r>
      <w:r>
        <w:rPr>
          <w:rFonts w:ascii="仿宋" w:eastAsia="仿宋" w:hint="eastAsia"/>
          <w:w w:val="99"/>
        </w:rPr>
        <w:t>：</w:t>
      </w:r>
    </w:p>
    <w:p>
      <w:pPr>
        <w:pStyle w:val="BodyText"/>
        <w:spacing w:before="211"/>
        <w:rPr>
          <w:rFonts w:ascii="仿宋" w:eastAsia="仿宋" w:hint="eastAsia"/>
        </w:rPr>
      </w:pPr>
      <w:r>
        <w:rPr>
          <w:rFonts w:ascii="仿宋" w:eastAsia="仿宋" w:hint="eastAsia"/>
          <w:spacing w:val="1"/>
          <w:w w:val="99"/>
        </w:rPr>
        <w:t>乙方</w:t>
      </w:r>
      <w:r>
        <w:rPr>
          <w:rFonts w:ascii="仿宋" w:eastAsia="仿宋" w:hint="eastAsia"/>
          <w:w w:val="99"/>
        </w:rPr>
        <w:t>（医药产品生产经营企业及其代理人</w:t>
      </w:r>
      <w:r>
        <w:rPr>
          <w:rFonts w:ascii="仿宋" w:eastAsia="仿宋" w:hint="eastAsia"/>
          <w:spacing w:val="-161"/>
          <w:w w:val="99"/>
        </w:rPr>
        <w:t>）</w:t>
      </w:r>
      <w:r>
        <w:rPr>
          <w:rFonts w:ascii="仿宋" w:eastAsia="仿宋" w:hint="eastAsia"/>
          <w:w w:val="99"/>
        </w:rPr>
        <w:t>：</w:t>
      </w:r>
    </w:p>
    <w:p>
      <w:pPr>
        <w:pStyle w:val="BodyText"/>
        <w:spacing w:line="364" w:lineRule="auto" w:before="214"/>
        <w:ind w:right="429" w:firstLine="640"/>
        <w:jc w:val="both"/>
        <w:rPr>
          <w:rFonts w:ascii="仿宋" w:eastAsia="仿宋" w:hint="eastAsia"/>
        </w:rPr>
      </w:pPr>
      <w:r>
        <w:rPr>
          <w:rFonts w:ascii="仿宋" w:eastAsia="仿宋" w:hint="eastAsia"/>
        </w:rPr>
        <w:t>为进一步加强医疗卫生行风建设，规范医疗卫生机构医药</w:t>
      </w:r>
      <w:r>
        <w:rPr>
          <w:rFonts w:ascii="仿宋" w:eastAsia="仿宋" w:hint="eastAsia"/>
          <w:w w:val="95"/>
        </w:rPr>
        <w:t>购销行为，有效防范商业贿赂行为，营造公平交易、诚实守信 的购销环境，经甲、乙双方协商，同意签订本合同，并共同遵 </w:t>
      </w:r>
      <w:r>
        <w:rPr>
          <w:rFonts w:ascii="仿宋" w:eastAsia="仿宋" w:hint="eastAsia"/>
        </w:rPr>
        <w:t>守：</w:t>
      </w:r>
    </w:p>
    <w:p>
      <w:pPr>
        <w:pStyle w:val="BodyText"/>
        <w:spacing w:line="364" w:lineRule="auto"/>
        <w:ind w:right="433" w:firstLine="640"/>
        <w:jc w:val="both"/>
        <w:rPr>
          <w:rFonts w:ascii="仿宋" w:eastAsia="仿宋" w:hint="eastAsia"/>
        </w:rPr>
      </w:pPr>
      <w:r>
        <w:rPr>
          <w:rFonts w:ascii="仿宋" w:eastAsia="仿宋" w:hint="eastAsia"/>
          <w:w w:val="95"/>
        </w:rPr>
        <w:t>一、甲乙双方按照《合同法》及医药产品购销合同约定购 </w:t>
      </w:r>
      <w:r>
        <w:rPr>
          <w:rFonts w:ascii="仿宋" w:eastAsia="仿宋" w:hint="eastAsia"/>
        </w:rPr>
        <w:t>销药品、医用设备、医用耗材等医药产品。</w:t>
      </w:r>
    </w:p>
    <w:p>
      <w:pPr>
        <w:pStyle w:val="BodyText"/>
        <w:spacing w:line="364" w:lineRule="auto"/>
        <w:ind w:right="429" w:firstLine="640"/>
        <w:jc w:val="both"/>
        <w:rPr>
          <w:rFonts w:ascii="仿宋" w:eastAsia="仿宋" w:hint="eastAsia"/>
        </w:rPr>
      </w:pPr>
      <w:r>
        <w:rPr>
          <w:rFonts w:ascii="仿宋" w:eastAsia="仿宋" w:hint="eastAsia"/>
        </w:rPr>
        <w:t>二、甲方应当严格执行医药产品购销合同采购验收、入库</w:t>
      </w:r>
      <w:r>
        <w:rPr>
          <w:rFonts w:ascii="仿宋" w:eastAsia="仿宋" w:hint="eastAsia"/>
          <w:w w:val="95"/>
        </w:rPr>
        <w:t>制度，对采购医药产品及发票进行查验、不得违反有关规定合 </w:t>
      </w:r>
      <w:r>
        <w:rPr>
          <w:rFonts w:ascii="仿宋" w:eastAsia="仿宋" w:hint="eastAsia"/>
        </w:rPr>
        <w:t>同外采购、违价采购或从非规定渠道采购。</w:t>
      </w:r>
    </w:p>
    <w:p>
      <w:pPr>
        <w:pStyle w:val="BodyText"/>
        <w:spacing w:line="364" w:lineRule="auto"/>
        <w:ind w:right="429" w:firstLine="640"/>
        <w:jc w:val="both"/>
        <w:rPr>
          <w:rFonts w:ascii="仿宋" w:eastAsia="仿宋" w:hint="eastAsia"/>
        </w:rPr>
      </w:pPr>
      <w:r>
        <w:rPr>
          <w:rFonts w:ascii="仿宋" w:eastAsia="仿宋" w:hint="eastAsia"/>
        </w:rPr>
        <w:t>三、甲方严禁接受乙方以任何名义、形式给予的回扣，不</w:t>
      </w:r>
      <w:r>
        <w:rPr>
          <w:rFonts w:ascii="仿宋" w:eastAsia="仿宋" w:hint="eastAsia"/>
          <w:w w:val="95"/>
        </w:rPr>
        <w:t>得将接受捐赠资助与采购挂钩。甲方工作人员不得参加乙方安 排并支付费用的营业性娱乐场所的娱乐活动，不得以任何形式 向乙方索要现金、有价证券、支付凭证和贵重礼品等。被迫接 受乙方给予的钱物，应予退还，无法退还的，有责任如实向有 </w:t>
      </w:r>
      <w:r>
        <w:rPr>
          <w:rFonts w:ascii="仿宋" w:eastAsia="仿宋" w:hint="eastAsia"/>
        </w:rPr>
        <w:t>关纪检监察部门反映情况。</w:t>
      </w:r>
    </w:p>
    <w:p>
      <w:pPr>
        <w:pStyle w:val="BodyText"/>
        <w:spacing w:line="406" w:lineRule="exact"/>
        <w:ind w:firstLine="640"/>
        <w:jc w:val="both"/>
        <w:rPr>
          <w:rFonts w:ascii="仿宋" w:eastAsia="仿宋" w:hint="eastAsia"/>
        </w:rPr>
      </w:pPr>
      <w:r>
        <w:rPr>
          <w:rFonts w:ascii="仿宋" w:eastAsia="仿宋" w:hint="eastAsia"/>
        </w:rPr>
        <w:t>四、严禁甲方工作人员利用任何途径和方式，为乙方统计</w:t>
      </w:r>
    </w:p>
    <w:p>
      <w:pPr>
        <w:pStyle w:val="BodyText"/>
        <w:spacing w:line="620" w:lineRule="atLeast"/>
        <w:ind w:right="429"/>
        <w:rPr>
          <w:rFonts w:ascii="仿宋" w:eastAsia="仿宋" w:hint="eastAsia"/>
        </w:rPr>
      </w:pPr>
      <w:r>
        <w:rPr>
          <w:rFonts w:ascii="仿宋" w:eastAsia="仿宋" w:hint="eastAsia"/>
          <w:w w:val="95"/>
        </w:rPr>
        <w:t>医师个人及临床科室有关医药产品用量信息，或为乙方统计提 </w:t>
      </w:r>
      <w:r>
        <w:rPr>
          <w:rFonts w:ascii="仿宋" w:eastAsia="仿宋" w:hint="eastAsia"/>
        </w:rPr>
        <w:t>供便利。</w:t>
      </w:r>
    </w:p>
    <w:p>
      <w:pPr>
        <w:spacing w:after="0" w:line="620" w:lineRule="atLeast"/>
        <w:rPr>
          <w:rFonts w:ascii="仿宋" w:eastAsia="仿宋" w:hint="eastAsia"/>
        </w:rPr>
        <w:sectPr>
          <w:type w:val="continuous"/>
          <w:pgSz w:w="11910" w:h="16840"/>
          <w:pgMar w:top="1480" w:bottom="1500" w:left="1220" w:right="1160"/>
        </w:sectPr>
      </w:pPr>
    </w:p>
    <w:p>
      <w:pPr>
        <w:pStyle w:val="BodyText"/>
        <w:spacing w:line="364" w:lineRule="auto" w:before="41"/>
        <w:ind w:right="429" w:firstLine="640"/>
        <w:jc w:val="both"/>
        <w:rPr>
          <w:rFonts w:ascii="仿宋" w:eastAsia="仿宋" w:hint="eastAsia"/>
        </w:rPr>
      </w:pPr>
      <w:r>
        <w:rPr>
          <w:rFonts w:ascii="仿宋" w:eastAsia="仿宋" w:hint="eastAsia"/>
        </w:rPr>
        <w:t>五、乙方不得以回扣、宴请等方式影响甲方工作人员采购</w:t>
      </w:r>
      <w:r>
        <w:rPr>
          <w:rFonts w:ascii="仿宋" w:eastAsia="仿宋" w:hint="eastAsia"/>
          <w:w w:val="95"/>
        </w:rPr>
        <w:t>或使用医药产品的选择权，不得在学术活动中提供旅游、超标 </w:t>
      </w:r>
      <w:r>
        <w:rPr>
          <w:rFonts w:ascii="仿宋" w:eastAsia="仿宋" w:hint="eastAsia"/>
        </w:rPr>
        <w:t>准支付食宿费用。</w:t>
      </w:r>
    </w:p>
    <w:p>
      <w:pPr>
        <w:pStyle w:val="BodyText"/>
        <w:spacing w:line="364" w:lineRule="auto"/>
        <w:ind w:right="429" w:firstLine="640"/>
        <w:jc w:val="both"/>
        <w:rPr>
          <w:rFonts w:ascii="仿宋" w:eastAsia="仿宋" w:hint="eastAsia"/>
        </w:rPr>
      </w:pPr>
      <w:r>
        <w:rPr>
          <w:rFonts w:ascii="仿宋" w:eastAsia="仿宋" w:hint="eastAsia"/>
        </w:rPr>
        <w:t>六、乙方指定作为销售代表洽谈业务。销售代表必须在工</w:t>
      </w:r>
      <w:r>
        <w:rPr>
          <w:rFonts w:ascii="仿宋" w:eastAsia="仿宋" w:hint="eastAsia"/>
          <w:w w:val="95"/>
        </w:rPr>
        <w:t>作时间到甲方指定地点联系商谈，不得到住院部、门诊部、医 技科室等推销医药产品，不得借故到甲方相关领导、部门负责 </w:t>
      </w:r>
      <w:r>
        <w:rPr>
          <w:rFonts w:ascii="仿宋" w:eastAsia="仿宋" w:hint="eastAsia"/>
        </w:rPr>
        <w:t>人及相关工作人员家中访谈并提供任何好处费。</w:t>
      </w:r>
    </w:p>
    <w:p>
      <w:pPr>
        <w:pStyle w:val="BodyText"/>
        <w:spacing w:line="364" w:lineRule="auto"/>
        <w:ind w:right="417" w:firstLine="640"/>
        <w:jc w:val="both"/>
        <w:rPr>
          <w:rFonts w:ascii="仿宋" w:eastAsia="仿宋" w:hint="eastAsia"/>
        </w:rPr>
      </w:pPr>
      <w:r>
        <w:rPr>
          <w:rFonts w:ascii="仿宋" w:eastAsia="仿宋" w:hint="eastAsia"/>
        </w:rPr>
        <w:t>七、乙方如违反本合同，一经发现，甲方有权终止购销合同，并向有关卫生计生行政部门报告。如乙方被列入商业贿赂不良记录，则严格按照《国家卫生计生委关于建立医药购销领</w:t>
      </w:r>
      <w:r>
        <w:rPr>
          <w:rFonts w:ascii="仿宋" w:eastAsia="仿宋" w:hint="eastAsia"/>
          <w:spacing w:val="-9"/>
        </w:rPr>
        <w:t>域商业贿赂不良记录的规定》</w:t>
      </w:r>
      <w:r>
        <w:rPr>
          <w:rFonts w:ascii="仿宋" w:eastAsia="仿宋" w:hint="eastAsia"/>
          <w:spacing w:val="4"/>
        </w:rPr>
        <w:t>（</w:t>
      </w:r>
      <w:r>
        <w:rPr>
          <w:rFonts w:ascii="仿宋" w:eastAsia="仿宋" w:hint="eastAsia"/>
          <w:spacing w:val="3"/>
        </w:rPr>
        <w:t>国卫法制发[</w:t>
      </w:r>
      <w:r>
        <w:rPr>
          <w:rFonts w:ascii="仿宋" w:eastAsia="仿宋" w:hint="eastAsia"/>
        </w:rPr>
        <w:t>2013]50</w:t>
      </w:r>
      <w:r>
        <w:rPr>
          <w:rFonts w:ascii="仿宋" w:eastAsia="仿宋" w:hint="eastAsia"/>
          <w:spacing w:val="-7"/>
        </w:rPr>
        <w:t> 号</w:t>
      </w:r>
      <w:r>
        <w:rPr>
          <w:rFonts w:ascii="仿宋" w:eastAsia="仿宋" w:hint="eastAsia"/>
          <w:spacing w:val="4"/>
        </w:rPr>
        <w:t>）相关</w:t>
      </w:r>
      <w:r>
        <w:rPr>
          <w:rFonts w:ascii="仿宋" w:eastAsia="仿宋" w:hint="eastAsia"/>
        </w:rPr>
        <w:t>规定处理。</w:t>
      </w:r>
    </w:p>
    <w:p>
      <w:pPr>
        <w:pStyle w:val="BodyText"/>
        <w:spacing w:line="364" w:lineRule="auto"/>
        <w:ind w:right="433" w:firstLine="640"/>
        <w:jc w:val="both"/>
        <w:rPr>
          <w:rFonts w:ascii="仿宋" w:eastAsia="仿宋" w:hint="eastAsia"/>
        </w:rPr>
      </w:pPr>
      <w:r>
        <w:rPr>
          <w:rFonts w:ascii="仿宋" w:eastAsia="仿宋" w:hint="eastAsia"/>
          <w:w w:val="95"/>
        </w:rPr>
        <w:t>八、本合同作为医药产品购销合同的重要组成部分，与购 </w:t>
      </w:r>
      <w:r>
        <w:rPr>
          <w:rFonts w:ascii="仿宋" w:eastAsia="仿宋" w:hint="eastAsia"/>
        </w:rPr>
        <w:t>销合同一并执行，具有同等的法律效力。</w:t>
      </w:r>
    </w:p>
    <w:p>
      <w:pPr>
        <w:pStyle w:val="BodyText"/>
        <w:spacing w:line="364" w:lineRule="auto"/>
        <w:ind w:right="429" w:firstLine="640"/>
        <w:jc w:val="both"/>
        <w:rPr>
          <w:rFonts w:ascii="仿宋" w:eastAsia="仿宋" w:hint="eastAsia"/>
        </w:rPr>
      </w:pPr>
      <w:r>
        <w:rPr>
          <w:rFonts w:ascii="仿宋" w:eastAsia="仿宋" w:hint="eastAsia"/>
        </w:rPr>
        <w:t>九、本合同一式三份，甲、乙双方各执一份，甲方纪检监</w:t>
      </w:r>
      <w:r>
        <w:rPr>
          <w:rFonts w:ascii="仿宋" w:eastAsia="仿宋" w:hint="eastAsia"/>
          <w:w w:val="95"/>
        </w:rPr>
        <w:t>察部门（基层医疗卫生机构上报上级卫生计生行政部门）执一 </w:t>
      </w:r>
      <w:r>
        <w:rPr>
          <w:rFonts w:ascii="仿宋" w:eastAsia="仿宋" w:hint="eastAsia"/>
        </w:rPr>
        <w:t>份，并从签订之日起生效。</w:t>
      </w:r>
    </w:p>
    <w:p>
      <w:pPr>
        <w:pStyle w:val="BodyText"/>
        <w:tabs>
          <w:tab w:pos="5170" w:val="left" w:leader="none"/>
        </w:tabs>
        <w:spacing w:line="408" w:lineRule="exact"/>
        <w:rPr>
          <w:rFonts w:ascii="仿宋" w:eastAsia="仿宋" w:hint="eastAsia"/>
        </w:rPr>
      </w:pPr>
      <w:r>
        <w:rPr>
          <w:rFonts w:ascii="仿宋" w:eastAsia="仿宋" w:hint="eastAsia"/>
          <w:spacing w:val="2"/>
          <w:w w:val="99"/>
        </w:rPr>
        <w:t>甲</w:t>
      </w:r>
      <w:r>
        <w:rPr>
          <w:rFonts w:ascii="仿宋" w:eastAsia="仿宋" w:hint="eastAsia"/>
          <w:w w:val="99"/>
        </w:rPr>
        <w:t>方（</w:t>
      </w:r>
      <w:r>
        <w:rPr>
          <w:rFonts w:ascii="仿宋" w:eastAsia="仿宋" w:hint="eastAsia"/>
          <w:spacing w:val="2"/>
          <w:w w:val="99"/>
        </w:rPr>
        <w:t>盖</w:t>
      </w:r>
      <w:r>
        <w:rPr>
          <w:rFonts w:ascii="仿宋" w:eastAsia="仿宋" w:hint="eastAsia"/>
          <w:w w:val="99"/>
        </w:rPr>
        <w:t>章</w:t>
      </w:r>
      <w:r>
        <w:rPr>
          <w:rFonts w:ascii="仿宋" w:eastAsia="仿宋" w:hint="eastAsia"/>
          <w:spacing w:val="-159"/>
          <w:w w:val="99"/>
        </w:rPr>
        <w:t>）</w:t>
      </w:r>
      <w:r>
        <w:rPr>
          <w:rFonts w:ascii="仿宋" w:eastAsia="仿宋" w:hint="eastAsia"/>
          <w:w w:val="99"/>
        </w:rPr>
        <w:t>：</w:t>
      </w:r>
      <w:r>
        <w:rPr>
          <w:rFonts w:ascii="仿宋" w:eastAsia="仿宋" w:hint="eastAsia"/>
        </w:rPr>
        <w:tab/>
      </w:r>
      <w:r>
        <w:rPr>
          <w:rFonts w:ascii="仿宋" w:eastAsia="仿宋" w:hint="eastAsia"/>
          <w:spacing w:val="2"/>
          <w:w w:val="99"/>
        </w:rPr>
        <w:t>乙</w:t>
      </w:r>
      <w:r>
        <w:rPr>
          <w:rFonts w:ascii="仿宋" w:eastAsia="仿宋" w:hint="eastAsia"/>
          <w:w w:val="99"/>
        </w:rPr>
        <w:t>方（</w:t>
      </w:r>
      <w:r>
        <w:rPr>
          <w:rFonts w:ascii="仿宋" w:eastAsia="仿宋" w:hint="eastAsia"/>
          <w:spacing w:val="2"/>
          <w:w w:val="99"/>
        </w:rPr>
        <w:t>盖</w:t>
      </w:r>
      <w:r>
        <w:rPr>
          <w:rFonts w:ascii="仿宋" w:eastAsia="仿宋" w:hint="eastAsia"/>
          <w:w w:val="99"/>
        </w:rPr>
        <w:t>章</w:t>
      </w:r>
      <w:r>
        <w:rPr>
          <w:rFonts w:ascii="仿宋" w:eastAsia="仿宋" w:hint="eastAsia"/>
          <w:spacing w:val="-159"/>
          <w:w w:val="99"/>
        </w:rPr>
        <w:t>）</w:t>
      </w:r>
      <w:r>
        <w:rPr>
          <w:rFonts w:ascii="仿宋" w:eastAsia="仿宋" w:hint="eastAsia"/>
          <w:w w:val="99"/>
        </w:rPr>
        <w:t>：</w:t>
      </w:r>
    </w:p>
    <w:p>
      <w:pPr>
        <w:pStyle w:val="BodyText"/>
        <w:tabs>
          <w:tab w:pos="5170" w:val="left" w:leader="none"/>
        </w:tabs>
        <w:spacing w:line="364" w:lineRule="auto" w:before="205"/>
        <w:ind w:right="994"/>
        <w:rPr>
          <w:rFonts w:ascii="仿宋" w:eastAsia="仿宋" w:hint="eastAsia"/>
        </w:rPr>
      </w:pPr>
      <w:r>
        <w:rPr>
          <w:rFonts w:ascii="仿宋" w:eastAsia="仿宋" w:hint="eastAsia"/>
          <w:spacing w:val="2"/>
          <w:w w:val="99"/>
        </w:rPr>
        <w:t>法</w:t>
      </w:r>
      <w:r>
        <w:rPr>
          <w:rFonts w:ascii="仿宋" w:eastAsia="仿宋" w:hint="eastAsia"/>
          <w:w w:val="99"/>
        </w:rPr>
        <w:t>定代</w:t>
      </w:r>
      <w:r>
        <w:rPr>
          <w:rFonts w:ascii="仿宋" w:eastAsia="仿宋" w:hint="eastAsia"/>
          <w:spacing w:val="2"/>
          <w:w w:val="99"/>
        </w:rPr>
        <w:t>表</w:t>
      </w:r>
      <w:r>
        <w:rPr>
          <w:rFonts w:ascii="仿宋" w:eastAsia="仿宋" w:hint="eastAsia"/>
          <w:w w:val="99"/>
        </w:rPr>
        <w:t>人（负</w:t>
      </w:r>
      <w:r>
        <w:rPr>
          <w:rFonts w:ascii="仿宋" w:eastAsia="仿宋" w:hint="eastAsia"/>
          <w:spacing w:val="2"/>
          <w:w w:val="99"/>
        </w:rPr>
        <w:t>责</w:t>
      </w:r>
      <w:r>
        <w:rPr>
          <w:rFonts w:ascii="仿宋" w:eastAsia="仿宋" w:hint="eastAsia"/>
          <w:w w:val="99"/>
        </w:rPr>
        <w:t>人</w:t>
      </w:r>
      <w:r>
        <w:rPr>
          <w:rFonts w:ascii="仿宋" w:eastAsia="仿宋" w:hint="eastAsia"/>
          <w:spacing w:val="-159"/>
          <w:w w:val="99"/>
        </w:rPr>
        <w:t>）</w:t>
      </w:r>
      <w:r>
        <w:rPr>
          <w:rFonts w:ascii="仿宋" w:eastAsia="仿宋" w:hint="eastAsia"/>
          <w:w w:val="99"/>
        </w:rPr>
        <w:t>：</w:t>
      </w:r>
      <w:r>
        <w:rPr>
          <w:rFonts w:ascii="仿宋" w:eastAsia="仿宋" w:hint="eastAsia"/>
        </w:rPr>
        <w:tab/>
      </w:r>
      <w:r>
        <w:rPr>
          <w:rFonts w:ascii="仿宋" w:eastAsia="仿宋" w:hint="eastAsia"/>
          <w:w w:val="99"/>
        </w:rPr>
        <w:t>法</w:t>
      </w:r>
      <w:r>
        <w:rPr>
          <w:rFonts w:ascii="仿宋" w:eastAsia="仿宋" w:hint="eastAsia"/>
          <w:spacing w:val="2"/>
          <w:w w:val="99"/>
        </w:rPr>
        <w:t>定</w:t>
      </w:r>
      <w:r>
        <w:rPr>
          <w:rFonts w:ascii="仿宋" w:eastAsia="仿宋" w:hint="eastAsia"/>
          <w:w w:val="99"/>
        </w:rPr>
        <w:t>代表</w:t>
      </w:r>
      <w:r>
        <w:rPr>
          <w:rFonts w:ascii="仿宋" w:eastAsia="仿宋" w:hint="eastAsia"/>
          <w:spacing w:val="2"/>
          <w:w w:val="99"/>
        </w:rPr>
        <w:t>人</w:t>
      </w:r>
      <w:r>
        <w:rPr>
          <w:rFonts w:ascii="仿宋" w:eastAsia="仿宋" w:hint="eastAsia"/>
          <w:w w:val="99"/>
        </w:rPr>
        <w:t>（负</w:t>
      </w:r>
      <w:r>
        <w:rPr>
          <w:rFonts w:ascii="仿宋" w:eastAsia="仿宋" w:hint="eastAsia"/>
          <w:spacing w:val="2"/>
          <w:w w:val="99"/>
        </w:rPr>
        <w:t>责</w:t>
      </w:r>
      <w:r>
        <w:rPr>
          <w:rFonts w:ascii="仿宋" w:eastAsia="仿宋" w:hint="eastAsia"/>
          <w:w w:val="99"/>
        </w:rPr>
        <w:t>人</w:t>
      </w:r>
      <w:r>
        <w:rPr>
          <w:rFonts w:ascii="仿宋" w:eastAsia="仿宋" w:hint="eastAsia"/>
          <w:spacing w:val="-167"/>
          <w:w w:val="99"/>
        </w:rPr>
        <w:t>）</w:t>
      </w:r>
      <w:r>
        <w:rPr>
          <w:rFonts w:ascii="仿宋" w:eastAsia="仿宋" w:hint="eastAsia"/>
          <w:spacing w:val="-16"/>
          <w:w w:val="99"/>
        </w:rPr>
        <w:t>：</w:t>
      </w:r>
      <w:r>
        <w:rPr>
          <w:rFonts w:ascii="仿宋" w:eastAsia="仿宋" w:hint="eastAsia"/>
        </w:rPr>
        <w:t>经办人签名：</w:t>
        <w:tab/>
        <w:t>经办人签名：</w:t>
      </w:r>
    </w:p>
    <w:p>
      <w:pPr>
        <w:pStyle w:val="BodyText"/>
        <w:tabs>
          <w:tab w:pos="1729" w:val="left" w:leader="none"/>
          <w:tab w:pos="2371" w:val="left" w:leader="none"/>
          <w:tab w:pos="5251" w:val="left" w:leader="none"/>
          <w:tab w:pos="6613" w:val="left" w:leader="none"/>
          <w:tab w:pos="7251" w:val="left" w:leader="none"/>
        </w:tabs>
        <w:spacing w:line="407" w:lineRule="exact"/>
        <w:rPr>
          <w:rFonts w:ascii="仿宋" w:eastAsia="仿宋" w:hint="eastAsia"/>
        </w:rPr>
      </w:pPr>
      <w:r>
        <w:rPr>
          <w:rFonts w:ascii="仿宋" w:eastAsia="仿宋" w:hint="eastAsia"/>
        </w:rPr>
        <w:t>2018</w:t>
      </w:r>
      <w:r>
        <w:rPr>
          <w:rFonts w:ascii="仿宋" w:eastAsia="仿宋" w:hint="eastAsia"/>
          <w:spacing w:val="-83"/>
        </w:rPr>
        <w:t> </w:t>
      </w:r>
      <w:r>
        <w:rPr>
          <w:rFonts w:ascii="仿宋" w:eastAsia="仿宋" w:hint="eastAsia"/>
        </w:rPr>
        <w:t>年</w:t>
        <w:tab/>
        <w:t>月</w:t>
        <w:tab/>
        <w:t>日</w:t>
        <w:tab/>
        <w:t>2018</w:t>
      </w:r>
      <w:r>
        <w:rPr>
          <w:rFonts w:ascii="仿宋" w:eastAsia="仿宋" w:hint="eastAsia"/>
          <w:spacing w:val="-82"/>
        </w:rPr>
        <w:t> </w:t>
      </w:r>
      <w:r>
        <w:rPr>
          <w:rFonts w:ascii="仿宋" w:eastAsia="仿宋" w:hint="eastAsia"/>
        </w:rPr>
        <w:t>年</w:t>
        <w:tab/>
        <w:t>月</w:t>
        <w:tab/>
        <w:t>日</w:t>
      </w:r>
    </w:p>
    <w:sectPr>
      <w:pgSz w:w="11910" w:h="16840"/>
      <w:pgMar w:header="0" w:footer="1302" w:top="1360" w:bottom="1500" w:left="1220" w:right="11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Calibri">
    <w:altName w:val="Calibri"/>
    <w:charset w:val="0"/>
    <w:family w:val="swiss"/>
    <w:pitch w:val="variable"/>
  </w:font>
  <w:font w:name="微软雅黑">
    <w:altName w:val="微软雅黑"/>
    <w:charset w:val="86"/>
    <w:family w:val="swiss"/>
    <w:pitch w:val="variable"/>
  </w:font>
  <w:font w:name="PMingLiU">
    <w:altName w:val="PMingLiU"/>
    <w:charset w:val="0"/>
    <w:family w:val="roman"/>
    <w:pitch w:val="variable"/>
  </w:font>
  <w:font w:name="仿宋">
    <w:altName w:val="仿宋"/>
    <w:charset w:val="86"/>
    <w:family w:val="modern"/>
    <w:pitch w:val="fixed"/>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drawing>
        <wp:anchor distT="0" distB="0" distL="0" distR="0" allowOverlap="1" layoutInCell="1" locked="0" behindDoc="1" simplePos="0" relativeHeight="268391015">
          <wp:simplePos x="0" y="0"/>
          <wp:positionH relativeFrom="page">
            <wp:posOffset>3464052</wp:posOffset>
          </wp:positionH>
          <wp:positionV relativeFrom="page">
            <wp:posOffset>9738359</wp:posOffset>
          </wp:positionV>
          <wp:extent cx="635508" cy="198120"/>
          <wp:effectExtent l="0" t="0" r="0" b="0"/>
          <wp:wrapNone/>
          <wp:docPr id="1" name="image1.png" descr=""/>
          <wp:cNvGraphicFramePr>
            <a:graphicFrameLocks noChangeAspect="1"/>
          </wp:cNvGraphicFramePr>
          <a:graphic>
            <a:graphicData uri="http://schemas.openxmlformats.org/drawingml/2006/picture">
              <pic:pic>
                <pic:nvPicPr>
                  <pic:cNvPr id="2" name="image1.png"/>
                  <pic:cNvPicPr/>
                </pic:nvPicPr>
                <pic:blipFill>
                  <a:blip r:embed="rId1" cstate="print"/>
                  <a:stretch>
                    <a:fillRect/>
                  </a:stretch>
                </pic:blipFill>
                <pic:spPr>
                  <a:xfrm>
                    <a:off x="0" y="0"/>
                    <a:ext cx="635508" cy="198120"/>
                  </a:xfrm>
                  <a:prstGeom prst="rect">
                    <a:avLst/>
                  </a:prstGeom>
                </pic:spPr>
              </pic:pic>
            </a:graphicData>
          </a:graphic>
        </wp:anchor>
      </w:drawing>
    </w:r>
    <w:r>
      <w:rPr/>
      <w:pict>
        <v:shapetype id="_x0000_t202" o:spt="202" coordsize="21600,21600" path="m,l,21600r21600,l21600,xe">
          <v:stroke joinstyle="miter"/>
          <v:path gradientshapeok="t" o:connecttype="rect"/>
        </v:shapetype>
        <v:shape style="position:absolute;margin-left:270.829987pt;margin-top:767.562866pt;width:16pt;height:14.05pt;mso-position-horizontal-relative:page;mso-position-vertical-relative:page;z-index:-44416" type="#_x0000_t202" filled="false" stroked="false">
          <v:textbox inset="0,0,0,0">
            <w:txbxContent>
              <w:p>
                <w:pPr>
                  <w:spacing w:line="280" w:lineRule="exact" w:before="0"/>
                  <w:ind w:left="40" w:right="0" w:firstLine="0"/>
                  <w:jc w:val="left"/>
                  <w:rPr>
                    <w:sz w:val="24"/>
                  </w:rPr>
                </w:pPr>
                <w:r>
                  <w:rPr/>
                  <w:fldChar w:fldCharType="begin"/>
                </w:r>
                <w:r>
                  <w:rPr>
                    <w:sz w:val="24"/>
                  </w:rPr>
                  <w:instrText> PAGE </w:instrText>
                </w:r>
                <w:r>
                  <w:rPr/>
                  <w:fldChar w:fldCharType="separate"/>
                </w:r>
                <w:r>
                  <w:rPr/>
                  <w:t>10</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7">
    <w:multiLevelType w:val="hybridMultilevel"/>
    <w:lvl w:ilvl="0">
      <w:start w:val="1"/>
      <w:numFmt w:val="decimal"/>
      <w:lvlText w:val="（%1）"/>
      <w:lvlJc w:val="left"/>
      <w:pPr>
        <w:ind w:left="369" w:hanging="812"/>
        <w:jc w:val="left"/>
      </w:pPr>
      <w:rPr>
        <w:rFonts w:hint="default" w:ascii="宋体" w:hAnsi="宋体" w:eastAsia="宋体" w:cs="宋体"/>
        <w:w w:val="99"/>
        <w:sz w:val="30"/>
        <w:szCs w:val="30"/>
        <w:lang w:val="zh-CN" w:eastAsia="zh-CN" w:bidi="zh-CN"/>
      </w:rPr>
    </w:lvl>
    <w:lvl w:ilvl="1">
      <w:start w:val="0"/>
      <w:numFmt w:val="bullet"/>
      <w:lvlText w:val="•"/>
      <w:lvlJc w:val="left"/>
      <w:pPr>
        <w:ind w:left="1276" w:hanging="812"/>
      </w:pPr>
      <w:rPr>
        <w:rFonts w:hint="default"/>
        <w:lang w:val="zh-CN" w:eastAsia="zh-CN" w:bidi="zh-CN"/>
      </w:rPr>
    </w:lvl>
    <w:lvl w:ilvl="2">
      <w:start w:val="0"/>
      <w:numFmt w:val="bullet"/>
      <w:lvlText w:val="•"/>
      <w:lvlJc w:val="left"/>
      <w:pPr>
        <w:ind w:left="2193" w:hanging="812"/>
      </w:pPr>
      <w:rPr>
        <w:rFonts w:hint="default"/>
        <w:lang w:val="zh-CN" w:eastAsia="zh-CN" w:bidi="zh-CN"/>
      </w:rPr>
    </w:lvl>
    <w:lvl w:ilvl="3">
      <w:start w:val="0"/>
      <w:numFmt w:val="bullet"/>
      <w:lvlText w:val="•"/>
      <w:lvlJc w:val="left"/>
      <w:pPr>
        <w:ind w:left="3109" w:hanging="812"/>
      </w:pPr>
      <w:rPr>
        <w:rFonts w:hint="default"/>
        <w:lang w:val="zh-CN" w:eastAsia="zh-CN" w:bidi="zh-CN"/>
      </w:rPr>
    </w:lvl>
    <w:lvl w:ilvl="4">
      <w:start w:val="0"/>
      <w:numFmt w:val="bullet"/>
      <w:lvlText w:val="•"/>
      <w:lvlJc w:val="left"/>
      <w:pPr>
        <w:ind w:left="4026" w:hanging="812"/>
      </w:pPr>
      <w:rPr>
        <w:rFonts w:hint="default"/>
        <w:lang w:val="zh-CN" w:eastAsia="zh-CN" w:bidi="zh-CN"/>
      </w:rPr>
    </w:lvl>
    <w:lvl w:ilvl="5">
      <w:start w:val="0"/>
      <w:numFmt w:val="bullet"/>
      <w:lvlText w:val="•"/>
      <w:lvlJc w:val="left"/>
      <w:pPr>
        <w:ind w:left="4943" w:hanging="812"/>
      </w:pPr>
      <w:rPr>
        <w:rFonts w:hint="default"/>
        <w:lang w:val="zh-CN" w:eastAsia="zh-CN" w:bidi="zh-CN"/>
      </w:rPr>
    </w:lvl>
    <w:lvl w:ilvl="6">
      <w:start w:val="0"/>
      <w:numFmt w:val="bullet"/>
      <w:lvlText w:val="•"/>
      <w:lvlJc w:val="left"/>
      <w:pPr>
        <w:ind w:left="5859" w:hanging="812"/>
      </w:pPr>
      <w:rPr>
        <w:rFonts w:hint="default"/>
        <w:lang w:val="zh-CN" w:eastAsia="zh-CN" w:bidi="zh-CN"/>
      </w:rPr>
    </w:lvl>
    <w:lvl w:ilvl="7">
      <w:start w:val="0"/>
      <w:numFmt w:val="bullet"/>
      <w:lvlText w:val="•"/>
      <w:lvlJc w:val="left"/>
      <w:pPr>
        <w:ind w:left="6776" w:hanging="812"/>
      </w:pPr>
      <w:rPr>
        <w:rFonts w:hint="default"/>
        <w:lang w:val="zh-CN" w:eastAsia="zh-CN" w:bidi="zh-CN"/>
      </w:rPr>
    </w:lvl>
    <w:lvl w:ilvl="8">
      <w:start w:val="0"/>
      <w:numFmt w:val="bullet"/>
      <w:lvlText w:val="•"/>
      <w:lvlJc w:val="left"/>
      <w:pPr>
        <w:ind w:left="7693" w:hanging="812"/>
      </w:pPr>
      <w:rPr>
        <w:rFonts w:hint="default"/>
        <w:lang w:val="zh-CN" w:eastAsia="zh-CN" w:bidi="zh-CN"/>
      </w:rPr>
    </w:lvl>
  </w:abstractNum>
  <w:abstractNum w:abstractNumId="16">
    <w:multiLevelType w:val="hybridMultilevel"/>
    <w:lvl w:ilvl="0">
      <w:start w:val="1"/>
      <w:numFmt w:val="decimal"/>
      <w:lvlText w:val="%1."/>
      <w:lvlJc w:val="left"/>
      <w:pPr>
        <w:ind w:left="369" w:hanging="372"/>
        <w:jc w:val="left"/>
      </w:pPr>
      <w:rPr>
        <w:rFonts w:hint="default" w:ascii="Times New Roman" w:hAnsi="Times New Roman" w:eastAsia="Times New Roman" w:cs="Times New Roman"/>
        <w:spacing w:val="0"/>
        <w:w w:val="99"/>
        <w:sz w:val="32"/>
        <w:szCs w:val="32"/>
        <w:lang w:val="zh-CN" w:eastAsia="zh-CN" w:bidi="zh-CN"/>
      </w:rPr>
    </w:lvl>
    <w:lvl w:ilvl="1">
      <w:start w:val="0"/>
      <w:numFmt w:val="bullet"/>
      <w:lvlText w:val="•"/>
      <w:lvlJc w:val="left"/>
      <w:pPr>
        <w:ind w:left="1276" w:hanging="372"/>
      </w:pPr>
      <w:rPr>
        <w:rFonts w:hint="default"/>
        <w:lang w:val="zh-CN" w:eastAsia="zh-CN" w:bidi="zh-CN"/>
      </w:rPr>
    </w:lvl>
    <w:lvl w:ilvl="2">
      <w:start w:val="0"/>
      <w:numFmt w:val="bullet"/>
      <w:lvlText w:val="•"/>
      <w:lvlJc w:val="left"/>
      <w:pPr>
        <w:ind w:left="2193" w:hanging="372"/>
      </w:pPr>
      <w:rPr>
        <w:rFonts w:hint="default"/>
        <w:lang w:val="zh-CN" w:eastAsia="zh-CN" w:bidi="zh-CN"/>
      </w:rPr>
    </w:lvl>
    <w:lvl w:ilvl="3">
      <w:start w:val="0"/>
      <w:numFmt w:val="bullet"/>
      <w:lvlText w:val="•"/>
      <w:lvlJc w:val="left"/>
      <w:pPr>
        <w:ind w:left="3109" w:hanging="372"/>
      </w:pPr>
      <w:rPr>
        <w:rFonts w:hint="default"/>
        <w:lang w:val="zh-CN" w:eastAsia="zh-CN" w:bidi="zh-CN"/>
      </w:rPr>
    </w:lvl>
    <w:lvl w:ilvl="4">
      <w:start w:val="0"/>
      <w:numFmt w:val="bullet"/>
      <w:lvlText w:val="•"/>
      <w:lvlJc w:val="left"/>
      <w:pPr>
        <w:ind w:left="4026" w:hanging="372"/>
      </w:pPr>
      <w:rPr>
        <w:rFonts w:hint="default"/>
        <w:lang w:val="zh-CN" w:eastAsia="zh-CN" w:bidi="zh-CN"/>
      </w:rPr>
    </w:lvl>
    <w:lvl w:ilvl="5">
      <w:start w:val="0"/>
      <w:numFmt w:val="bullet"/>
      <w:lvlText w:val="•"/>
      <w:lvlJc w:val="left"/>
      <w:pPr>
        <w:ind w:left="4943" w:hanging="372"/>
      </w:pPr>
      <w:rPr>
        <w:rFonts w:hint="default"/>
        <w:lang w:val="zh-CN" w:eastAsia="zh-CN" w:bidi="zh-CN"/>
      </w:rPr>
    </w:lvl>
    <w:lvl w:ilvl="6">
      <w:start w:val="0"/>
      <w:numFmt w:val="bullet"/>
      <w:lvlText w:val="•"/>
      <w:lvlJc w:val="left"/>
      <w:pPr>
        <w:ind w:left="5859" w:hanging="372"/>
      </w:pPr>
      <w:rPr>
        <w:rFonts w:hint="default"/>
        <w:lang w:val="zh-CN" w:eastAsia="zh-CN" w:bidi="zh-CN"/>
      </w:rPr>
    </w:lvl>
    <w:lvl w:ilvl="7">
      <w:start w:val="0"/>
      <w:numFmt w:val="bullet"/>
      <w:lvlText w:val="•"/>
      <w:lvlJc w:val="left"/>
      <w:pPr>
        <w:ind w:left="6776" w:hanging="372"/>
      </w:pPr>
      <w:rPr>
        <w:rFonts w:hint="default"/>
        <w:lang w:val="zh-CN" w:eastAsia="zh-CN" w:bidi="zh-CN"/>
      </w:rPr>
    </w:lvl>
    <w:lvl w:ilvl="8">
      <w:start w:val="0"/>
      <w:numFmt w:val="bullet"/>
      <w:lvlText w:val="•"/>
      <w:lvlJc w:val="left"/>
      <w:pPr>
        <w:ind w:left="7693" w:hanging="372"/>
      </w:pPr>
      <w:rPr>
        <w:rFonts w:hint="default"/>
        <w:lang w:val="zh-CN" w:eastAsia="zh-CN" w:bidi="zh-CN"/>
      </w:rPr>
    </w:lvl>
  </w:abstractNum>
  <w:abstractNum w:abstractNumId="15">
    <w:multiLevelType w:val="hybridMultilevel"/>
    <w:lvl w:ilvl="0">
      <w:start w:val="1"/>
      <w:numFmt w:val="decimal"/>
      <w:lvlText w:val="%1."/>
      <w:lvlJc w:val="left"/>
      <w:pPr>
        <w:ind w:left="369" w:hanging="372"/>
        <w:jc w:val="left"/>
      </w:pPr>
      <w:rPr>
        <w:rFonts w:hint="default" w:ascii="Times New Roman" w:hAnsi="Times New Roman" w:eastAsia="Times New Roman" w:cs="Times New Roman"/>
        <w:spacing w:val="0"/>
        <w:w w:val="99"/>
        <w:sz w:val="32"/>
        <w:szCs w:val="32"/>
        <w:lang w:val="zh-CN" w:eastAsia="zh-CN" w:bidi="zh-CN"/>
      </w:rPr>
    </w:lvl>
    <w:lvl w:ilvl="1">
      <w:start w:val="0"/>
      <w:numFmt w:val="bullet"/>
      <w:lvlText w:val="•"/>
      <w:lvlJc w:val="left"/>
      <w:pPr>
        <w:ind w:left="1276" w:hanging="372"/>
      </w:pPr>
      <w:rPr>
        <w:rFonts w:hint="default"/>
        <w:lang w:val="zh-CN" w:eastAsia="zh-CN" w:bidi="zh-CN"/>
      </w:rPr>
    </w:lvl>
    <w:lvl w:ilvl="2">
      <w:start w:val="0"/>
      <w:numFmt w:val="bullet"/>
      <w:lvlText w:val="•"/>
      <w:lvlJc w:val="left"/>
      <w:pPr>
        <w:ind w:left="2193" w:hanging="372"/>
      </w:pPr>
      <w:rPr>
        <w:rFonts w:hint="default"/>
        <w:lang w:val="zh-CN" w:eastAsia="zh-CN" w:bidi="zh-CN"/>
      </w:rPr>
    </w:lvl>
    <w:lvl w:ilvl="3">
      <w:start w:val="0"/>
      <w:numFmt w:val="bullet"/>
      <w:lvlText w:val="•"/>
      <w:lvlJc w:val="left"/>
      <w:pPr>
        <w:ind w:left="3109" w:hanging="372"/>
      </w:pPr>
      <w:rPr>
        <w:rFonts w:hint="default"/>
        <w:lang w:val="zh-CN" w:eastAsia="zh-CN" w:bidi="zh-CN"/>
      </w:rPr>
    </w:lvl>
    <w:lvl w:ilvl="4">
      <w:start w:val="0"/>
      <w:numFmt w:val="bullet"/>
      <w:lvlText w:val="•"/>
      <w:lvlJc w:val="left"/>
      <w:pPr>
        <w:ind w:left="4026" w:hanging="372"/>
      </w:pPr>
      <w:rPr>
        <w:rFonts w:hint="default"/>
        <w:lang w:val="zh-CN" w:eastAsia="zh-CN" w:bidi="zh-CN"/>
      </w:rPr>
    </w:lvl>
    <w:lvl w:ilvl="5">
      <w:start w:val="0"/>
      <w:numFmt w:val="bullet"/>
      <w:lvlText w:val="•"/>
      <w:lvlJc w:val="left"/>
      <w:pPr>
        <w:ind w:left="4943" w:hanging="372"/>
      </w:pPr>
      <w:rPr>
        <w:rFonts w:hint="default"/>
        <w:lang w:val="zh-CN" w:eastAsia="zh-CN" w:bidi="zh-CN"/>
      </w:rPr>
    </w:lvl>
    <w:lvl w:ilvl="6">
      <w:start w:val="0"/>
      <w:numFmt w:val="bullet"/>
      <w:lvlText w:val="•"/>
      <w:lvlJc w:val="left"/>
      <w:pPr>
        <w:ind w:left="5859" w:hanging="372"/>
      </w:pPr>
      <w:rPr>
        <w:rFonts w:hint="default"/>
        <w:lang w:val="zh-CN" w:eastAsia="zh-CN" w:bidi="zh-CN"/>
      </w:rPr>
    </w:lvl>
    <w:lvl w:ilvl="7">
      <w:start w:val="0"/>
      <w:numFmt w:val="bullet"/>
      <w:lvlText w:val="•"/>
      <w:lvlJc w:val="left"/>
      <w:pPr>
        <w:ind w:left="6776" w:hanging="372"/>
      </w:pPr>
      <w:rPr>
        <w:rFonts w:hint="default"/>
        <w:lang w:val="zh-CN" w:eastAsia="zh-CN" w:bidi="zh-CN"/>
      </w:rPr>
    </w:lvl>
    <w:lvl w:ilvl="8">
      <w:start w:val="0"/>
      <w:numFmt w:val="bullet"/>
      <w:lvlText w:val="•"/>
      <w:lvlJc w:val="left"/>
      <w:pPr>
        <w:ind w:left="7693" w:hanging="372"/>
      </w:pPr>
      <w:rPr>
        <w:rFonts w:hint="default"/>
        <w:lang w:val="zh-CN" w:eastAsia="zh-CN" w:bidi="zh-CN"/>
      </w:rPr>
    </w:lvl>
  </w:abstractNum>
  <w:abstractNum w:abstractNumId="14">
    <w:multiLevelType w:val="hybridMultilevel"/>
    <w:lvl w:ilvl="0">
      <w:start w:val="1"/>
      <w:numFmt w:val="decimal"/>
      <w:lvlText w:val="%1."/>
      <w:lvlJc w:val="left"/>
      <w:pPr>
        <w:ind w:left="369" w:hanging="358"/>
        <w:jc w:val="left"/>
      </w:pPr>
      <w:rPr>
        <w:rFonts w:hint="default" w:ascii="Times New Roman" w:hAnsi="Times New Roman" w:eastAsia="Times New Roman" w:cs="Times New Roman"/>
        <w:spacing w:val="0"/>
        <w:w w:val="99"/>
        <w:sz w:val="32"/>
        <w:szCs w:val="32"/>
        <w:lang w:val="zh-CN" w:eastAsia="zh-CN" w:bidi="zh-CN"/>
      </w:rPr>
    </w:lvl>
    <w:lvl w:ilvl="1">
      <w:start w:val="0"/>
      <w:numFmt w:val="bullet"/>
      <w:lvlText w:val="•"/>
      <w:lvlJc w:val="left"/>
      <w:pPr>
        <w:ind w:left="1276" w:hanging="358"/>
      </w:pPr>
      <w:rPr>
        <w:rFonts w:hint="default"/>
        <w:lang w:val="zh-CN" w:eastAsia="zh-CN" w:bidi="zh-CN"/>
      </w:rPr>
    </w:lvl>
    <w:lvl w:ilvl="2">
      <w:start w:val="0"/>
      <w:numFmt w:val="bullet"/>
      <w:lvlText w:val="•"/>
      <w:lvlJc w:val="left"/>
      <w:pPr>
        <w:ind w:left="2193" w:hanging="358"/>
      </w:pPr>
      <w:rPr>
        <w:rFonts w:hint="default"/>
        <w:lang w:val="zh-CN" w:eastAsia="zh-CN" w:bidi="zh-CN"/>
      </w:rPr>
    </w:lvl>
    <w:lvl w:ilvl="3">
      <w:start w:val="0"/>
      <w:numFmt w:val="bullet"/>
      <w:lvlText w:val="•"/>
      <w:lvlJc w:val="left"/>
      <w:pPr>
        <w:ind w:left="3109" w:hanging="358"/>
      </w:pPr>
      <w:rPr>
        <w:rFonts w:hint="default"/>
        <w:lang w:val="zh-CN" w:eastAsia="zh-CN" w:bidi="zh-CN"/>
      </w:rPr>
    </w:lvl>
    <w:lvl w:ilvl="4">
      <w:start w:val="0"/>
      <w:numFmt w:val="bullet"/>
      <w:lvlText w:val="•"/>
      <w:lvlJc w:val="left"/>
      <w:pPr>
        <w:ind w:left="4026" w:hanging="358"/>
      </w:pPr>
      <w:rPr>
        <w:rFonts w:hint="default"/>
        <w:lang w:val="zh-CN" w:eastAsia="zh-CN" w:bidi="zh-CN"/>
      </w:rPr>
    </w:lvl>
    <w:lvl w:ilvl="5">
      <w:start w:val="0"/>
      <w:numFmt w:val="bullet"/>
      <w:lvlText w:val="•"/>
      <w:lvlJc w:val="left"/>
      <w:pPr>
        <w:ind w:left="4943" w:hanging="358"/>
      </w:pPr>
      <w:rPr>
        <w:rFonts w:hint="default"/>
        <w:lang w:val="zh-CN" w:eastAsia="zh-CN" w:bidi="zh-CN"/>
      </w:rPr>
    </w:lvl>
    <w:lvl w:ilvl="6">
      <w:start w:val="0"/>
      <w:numFmt w:val="bullet"/>
      <w:lvlText w:val="•"/>
      <w:lvlJc w:val="left"/>
      <w:pPr>
        <w:ind w:left="5859" w:hanging="358"/>
      </w:pPr>
      <w:rPr>
        <w:rFonts w:hint="default"/>
        <w:lang w:val="zh-CN" w:eastAsia="zh-CN" w:bidi="zh-CN"/>
      </w:rPr>
    </w:lvl>
    <w:lvl w:ilvl="7">
      <w:start w:val="0"/>
      <w:numFmt w:val="bullet"/>
      <w:lvlText w:val="•"/>
      <w:lvlJc w:val="left"/>
      <w:pPr>
        <w:ind w:left="6776" w:hanging="358"/>
      </w:pPr>
      <w:rPr>
        <w:rFonts w:hint="default"/>
        <w:lang w:val="zh-CN" w:eastAsia="zh-CN" w:bidi="zh-CN"/>
      </w:rPr>
    </w:lvl>
    <w:lvl w:ilvl="8">
      <w:start w:val="0"/>
      <w:numFmt w:val="bullet"/>
      <w:lvlText w:val="•"/>
      <w:lvlJc w:val="left"/>
      <w:pPr>
        <w:ind w:left="7693" w:hanging="358"/>
      </w:pPr>
      <w:rPr>
        <w:rFonts w:hint="default"/>
        <w:lang w:val="zh-CN" w:eastAsia="zh-CN" w:bidi="zh-CN"/>
      </w:rPr>
    </w:lvl>
  </w:abstractNum>
  <w:abstractNum w:abstractNumId="13">
    <w:multiLevelType w:val="hybridMultilevel"/>
    <w:lvl w:ilvl="0">
      <w:start w:val="1"/>
      <w:numFmt w:val="decimal"/>
      <w:lvlText w:val="%1."/>
      <w:lvlJc w:val="left"/>
      <w:pPr>
        <w:ind w:left="369" w:hanging="372"/>
        <w:jc w:val="left"/>
      </w:pPr>
      <w:rPr>
        <w:rFonts w:hint="default" w:ascii="Times New Roman" w:hAnsi="Times New Roman" w:eastAsia="Times New Roman" w:cs="Times New Roman"/>
        <w:spacing w:val="0"/>
        <w:w w:val="99"/>
        <w:sz w:val="32"/>
        <w:szCs w:val="32"/>
        <w:lang w:val="zh-CN" w:eastAsia="zh-CN" w:bidi="zh-CN"/>
      </w:rPr>
    </w:lvl>
    <w:lvl w:ilvl="1">
      <w:start w:val="0"/>
      <w:numFmt w:val="bullet"/>
      <w:lvlText w:val="•"/>
      <w:lvlJc w:val="left"/>
      <w:pPr>
        <w:ind w:left="1276" w:hanging="372"/>
      </w:pPr>
      <w:rPr>
        <w:rFonts w:hint="default"/>
        <w:lang w:val="zh-CN" w:eastAsia="zh-CN" w:bidi="zh-CN"/>
      </w:rPr>
    </w:lvl>
    <w:lvl w:ilvl="2">
      <w:start w:val="0"/>
      <w:numFmt w:val="bullet"/>
      <w:lvlText w:val="•"/>
      <w:lvlJc w:val="left"/>
      <w:pPr>
        <w:ind w:left="2193" w:hanging="372"/>
      </w:pPr>
      <w:rPr>
        <w:rFonts w:hint="default"/>
        <w:lang w:val="zh-CN" w:eastAsia="zh-CN" w:bidi="zh-CN"/>
      </w:rPr>
    </w:lvl>
    <w:lvl w:ilvl="3">
      <w:start w:val="0"/>
      <w:numFmt w:val="bullet"/>
      <w:lvlText w:val="•"/>
      <w:lvlJc w:val="left"/>
      <w:pPr>
        <w:ind w:left="3109" w:hanging="372"/>
      </w:pPr>
      <w:rPr>
        <w:rFonts w:hint="default"/>
        <w:lang w:val="zh-CN" w:eastAsia="zh-CN" w:bidi="zh-CN"/>
      </w:rPr>
    </w:lvl>
    <w:lvl w:ilvl="4">
      <w:start w:val="0"/>
      <w:numFmt w:val="bullet"/>
      <w:lvlText w:val="•"/>
      <w:lvlJc w:val="left"/>
      <w:pPr>
        <w:ind w:left="4026" w:hanging="372"/>
      </w:pPr>
      <w:rPr>
        <w:rFonts w:hint="default"/>
        <w:lang w:val="zh-CN" w:eastAsia="zh-CN" w:bidi="zh-CN"/>
      </w:rPr>
    </w:lvl>
    <w:lvl w:ilvl="5">
      <w:start w:val="0"/>
      <w:numFmt w:val="bullet"/>
      <w:lvlText w:val="•"/>
      <w:lvlJc w:val="left"/>
      <w:pPr>
        <w:ind w:left="4943" w:hanging="372"/>
      </w:pPr>
      <w:rPr>
        <w:rFonts w:hint="default"/>
        <w:lang w:val="zh-CN" w:eastAsia="zh-CN" w:bidi="zh-CN"/>
      </w:rPr>
    </w:lvl>
    <w:lvl w:ilvl="6">
      <w:start w:val="0"/>
      <w:numFmt w:val="bullet"/>
      <w:lvlText w:val="•"/>
      <w:lvlJc w:val="left"/>
      <w:pPr>
        <w:ind w:left="5859" w:hanging="372"/>
      </w:pPr>
      <w:rPr>
        <w:rFonts w:hint="default"/>
        <w:lang w:val="zh-CN" w:eastAsia="zh-CN" w:bidi="zh-CN"/>
      </w:rPr>
    </w:lvl>
    <w:lvl w:ilvl="7">
      <w:start w:val="0"/>
      <w:numFmt w:val="bullet"/>
      <w:lvlText w:val="•"/>
      <w:lvlJc w:val="left"/>
      <w:pPr>
        <w:ind w:left="6776" w:hanging="372"/>
      </w:pPr>
      <w:rPr>
        <w:rFonts w:hint="default"/>
        <w:lang w:val="zh-CN" w:eastAsia="zh-CN" w:bidi="zh-CN"/>
      </w:rPr>
    </w:lvl>
    <w:lvl w:ilvl="8">
      <w:start w:val="0"/>
      <w:numFmt w:val="bullet"/>
      <w:lvlText w:val="•"/>
      <w:lvlJc w:val="left"/>
      <w:pPr>
        <w:ind w:left="7693" w:hanging="372"/>
      </w:pPr>
      <w:rPr>
        <w:rFonts w:hint="default"/>
        <w:lang w:val="zh-CN" w:eastAsia="zh-CN" w:bidi="zh-CN"/>
      </w:rPr>
    </w:lvl>
  </w:abstractNum>
  <w:abstractNum w:abstractNumId="12">
    <w:multiLevelType w:val="hybridMultilevel"/>
    <w:lvl w:ilvl="0">
      <w:start w:val="1"/>
      <w:numFmt w:val="decimal"/>
      <w:lvlText w:val="%1."/>
      <w:lvlJc w:val="left"/>
      <w:pPr>
        <w:ind w:left="369" w:hanging="372"/>
        <w:jc w:val="left"/>
      </w:pPr>
      <w:rPr>
        <w:rFonts w:hint="default" w:ascii="Times New Roman" w:hAnsi="Times New Roman" w:eastAsia="Times New Roman" w:cs="Times New Roman"/>
        <w:spacing w:val="0"/>
        <w:w w:val="99"/>
        <w:sz w:val="32"/>
        <w:szCs w:val="32"/>
        <w:lang w:val="zh-CN" w:eastAsia="zh-CN" w:bidi="zh-CN"/>
      </w:rPr>
    </w:lvl>
    <w:lvl w:ilvl="1">
      <w:start w:val="0"/>
      <w:numFmt w:val="bullet"/>
      <w:lvlText w:val="•"/>
      <w:lvlJc w:val="left"/>
      <w:pPr>
        <w:ind w:left="1276" w:hanging="372"/>
      </w:pPr>
      <w:rPr>
        <w:rFonts w:hint="default"/>
        <w:lang w:val="zh-CN" w:eastAsia="zh-CN" w:bidi="zh-CN"/>
      </w:rPr>
    </w:lvl>
    <w:lvl w:ilvl="2">
      <w:start w:val="0"/>
      <w:numFmt w:val="bullet"/>
      <w:lvlText w:val="•"/>
      <w:lvlJc w:val="left"/>
      <w:pPr>
        <w:ind w:left="2193" w:hanging="372"/>
      </w:pPr>
      <w:rPr>
        <w:rFonts w:hint="default"/>
        <w:lang w:val="zh-CN" w:eastAsia="zh-CN" w:bidi="zh-CN"/>
      </w:rPr>
    </w:lvl>
    <w:lvl w:ilvl="3">
      <w:start w:val="0"/>
      <w:numFmt w:val="bullet"/>
      <w:lvlText w:val="•"/>
      <w:lvlJc w:val="left"/>
      <w:pPr>
        <w:ind w:left="3109" w:hanging="372"/>
      </w:pPr>
      <w:rPr>
        <w:rFonts w:hint="default"/>
        <w:lang w:val="zh-CN" w:eastAsia="zh-CN" w:bidi="zh-CN"/>
      </w:rPr>
    </w:lvl>
    <w:lvl w:ilvl="4">
      <w:start w:val="0"/>
      <w:numFmt w:val="bullet"/>
      <w:lvlText w:val="•"/>
      <w:lvlJc w:val="left"/>
      <w:pPr>
        <w:ind w:left="4026" w:hanging="372"/>
      </w:pPr>
      <w:rPr>
        <w:rFonts w:hint="default"/>
        <w:lang w:val="zh-CN" w:eastAsia="zh-CN" w:bidi="zh-CN"/>
      </w:rPr>
    </w:lvl>
    <w:lvl w:ilvl="5">
      <w:start w:val="0"/>
      <w:numFmt w:val="bullet"/>
      <w:lvlText w:val="•"/>
      <w:lvlJc w:val="left"/>
      <w:pPr>
        <w:ind w:left="4943" w:hanging="372"/>
      </w:pPr>
      <w:rPr>
        <w:rFonts w:hint="default"/>
        <w:lang w:val="zh-CN" w:eastAsia="zh-CN" w:bidi="zh-CN"/>
      </w:rPr>
    </w:lvl>
    <w:lvl w:ilvl="6">
      <w:start w:val="0"/>
      <w:numFmt w:val="bullet"/>
      <w:lvlText w:val="•"/>
      <w:lvlJc w:val="left"/>
      <w:pPr>
        <w:ind w:left="5859" w:hanging="372"/>
      </w:pPr>
      <w:rPr>
        <w:rFonts w:hint="default"/>
        <w:lang w:val="zh-CN" w:eastAsia="zh-CN" w:bidi="zh-CN"/>
      </w:rPr>
    </w:lvl>
    <w:lvl w:ilvl="7">
      <w:start w:val="0"/>
      <w:numFmt w:val="bullet"/>
      <w:lvlText w:val="•"/>
      <w:lvlJc w:val="left"/>
      <w:pPr>
        <w:ind w:left="6776" w:hanging="372"/>
      </w:pPr>
      <w:rPr>
        <w:rFonts w:hint="default"/>
        <w:lang w:val="zh-CN" w:eastAsia="zh-CN" w:bidi="zh-CN"/>
      </w:rPr>
    </w:lvl>
    <w:lvl w:ilvl="8">
      <w:start w:val="0"/>
      <w:numFmt w:val="bullet"/>
      <w:lvlText w:val="•"/>
      <w:lvlJc w:val="left"/>
      <w:pPr>
        <w:ind w:left="7693" w:hanging="372"/>
      </w:pPr>
      <w:rPr>
        <w:rFonts w:hint="default"/>
        <w:lang w:val="zh-CN" w:eastAsia="zh-CN" w:bidi="zh-CN"/>
      </w:rPr>
    </w:lvl>
  </w:abstractNum>
  <w:abstractNum w:abstractNumId="11">
    <w:multiLevelType w:val="hybridMultilevel"/>
    <w:lvl w:ilvl="0">
      <w:start w:val="1"/>
      <w:numFmt w:val="decimal"/>
      <w:lvlText w:val="%1."/>
      <w:lvlJc w:val="left"/>
      <w:pPr>
        <w:ind w:left="369" w:hanging="372"/>
        <w:jc w:val="left"/>
      </w:pPr>
      <w:rPr>
        <w:rFonts w:hint="default" w:ascii="Times New Roman" w:hAnsi="Times New Roman" w:eastAsia="Times New Roman" w:cs="Times New Roman"/>
        <w:spacing w:val="0"/>
        <w:w w:val="99"/>
        <w:sz w:val="32"/>
        <w:szCs w:val="32"/>
        <w:lang w:val="zh-CN" w:eastAsia="zh-CN" w:bidi="zh-CN"/>
      </w:rPr>
    </w:lvl>
    <w:lvl w:ilvl="1">
      <w:start w:val="0"/>
      <w:numFmt w:val="bullet"/>
      <w:lvlText w:val="•"/>
      <w:lvlJc w:val="left"/>
      <w:pPr>
        <w:ind w:left="1276" w:hanging="372"/>
      </w:pPr>
      <w:rPr>
        <w:rFonts w:hint="default"/>
        <w:lang w:val="zh-CN" w:eastAsia="zh-CN" w:bidi="zh-CN"/>
      </w:rPr>
    </w:lvl>
    <w:lvl w:ilvl="2">
      <w:start w:val="0"/>
      <w:numFmt w:val="bullet"/>
      <w:lvlText w:val="•"/>
      <w:lvlJc w:val="left"/>
      <w:pPr>
        <w:ind w:left="2193" w:hanging="372"/>
      </w:pPr>
      <w:rPr>
        <w:rFonts w:hint="default"/>
        <w:lang w:val="zh-CN" w:eastAsia="zh-CN" w:bidi="zh-CN"/>
      </w:rPr>
    </w:lvl>
    <w:lvl w:ilvl="3">
      <w:start w:val="0"/>
      <w:numFmt w:val="bullet"/>
      <w:lvlText w:val="•"/>
      <w:lvlJc w:val="left"/>
      <w:pPr>
        <w:ind w:left="3109" w:hanging="372"/>
      </w:pPr>
      <w:rPr>
        <w:rFonts w:hint="default"/>
        <w:lang w:val="zh-CN" w:eastAsia="zh-CN" w:bidi="zh-CN"/>
      </w:rPr>
    </w:lvl>
    <w:lvl w:ilvl="4">
      <w:start w:val="0"/>
      <w:numFmt w:val="bullet"/>
      <w:lvlText w:val="•"/>
      <w:lvlJc w:val="left"/>
      <w:pPr>
        <w:ind w:left="4026" w:hanging="372"/>
      </w:pPr>
      <w:rPr>
        <w:rFonts w:hint="default"/>
        <w:lang w:val="zh-CN" w:eastAsia="zh-CN" w:bidi="zh-CN"/>
      </w:rPr>
    </w:lvl>
    <w:lvl w:ilvl="5">
      <w:start w:val="0"/>
      <w:numFmt w:val="bullet"/>
      <w:lvlText w:val="•"/>
      <w:lvlJc w:val="left"/>
      <w:pPr>
        <w:ind w:left="4943" w:hanging="372"/>
      </w:pPr>
      <w:rPr>
        <w:rFonts w:hint="default"/>
        <w:lang w:val="zh-CN" w:eastAsia="zh-CN" w:bidi="zh-CN"/>
      </w:rPr>
    </w:lvl>
    <w:lvl w:ilvl="6">
      <w:start w:val="0"/>
      <w:numFmt w:val="bullet"/>
      <w:lvlText w:val="•"/>
      <w:lvlJc w:val="left"/>
      <w:pPr>
        <w:ind w:left="5859" w:hanging="372"/>
      </w:pPr>
      <w:rPr>
        <w:rFonts w:hint="default"/>
        <w:lang w:val="zh-CN" w:eastAsia="zh-CN" w:bidi="zh-CN"/>
      </w:rPr>
    </w:lvl>
    <w:lvl w:ilvl="7">
      <w:start w:val="0"/>
      <w:numFmt w:val="bullet"/>
      <w:lvlText w:val="•"/>
      <w:lvlJc w:val="left"/>
      <w:pPr>
        <w:ind w:left="6776" w:hanging="372"/>
      </w:pPr>
      <w:rPr>
        <w:rFonts w:hint="default"/>
        <w:lang w:val="zh-CN" w:eastAsia="zh-CN" w:bidi="zh-CN"/>
      </w:rPr>
    </w:lvl>
    <w:lvl w:ilvl="8">
      <w:start w:val="0"/>
      <w:numFmt w:val="bullet"/>
      <w:lvlText w:val="•"/>
      <w:lvlJc w:val="left"/>
      <w:pPr>
        <w:ind w:left="7693" w:hanging="372"/>
      </w:pPr>
      <w:rPr>
        <w:rFonts w:hint="default"/>
        <w:lang w:val="zh-CN" w:eastAsia="zh-CN" w:bidi="zh-CN"/>
      </w:rPr>
    </w:lvl>
  </w:abstractNum>
  <w:abstractNum w:abstractNumId="10">
    <w:multiLevelType w:val="hybridMultilevel"/>
    <w:lvl w:ilvl="0">
      <w:start w:val="1"/>
      <w:numFmt w:val="decimal"/>
      <w:lvlText w:val="（%1）"/>
      <w:lvlJc w:val="left"/>
      <w:pPr>
        <w:ind w:left="1797" w:hanging="802"/>
        <w:jc w:val="left"/>
      </w:pPr>
      <w:rPr>
        <w:rFonts w:hint="default" w:ascii="宋体" w:hAnsi="宋体" w:eastAsia="宋体" w:cs="宋体"/>
        <w:w w:val="99"/>
        <w:sz w:val="30"/>
        <w:szCs w:val="30"/>
        <w:lang w:val="zh-CN" w:eastAsia="zh-CN" w:bidi="zh-CN"/>
      </w:rPr>
    </w:lvl>
    <w:lvl w:ilvl="1">
      <w:start w:val="0"/>
      <w:numFmt w:val="bullet"/>
      <w:lvlText w:val="•"/>
      <w:lvlJc w:val="left"/>
      <w:pPr>
        <w:ind w:left="2572" w:hanging="802"/>
      </w:pPr>
      <w:rPr>
        <w:rFonts w:hint="default"/>
        <w:lang w:val="zh-CN" w:eastAsia="zh-CN" w:bidi="zh-CN"/>
      </w:rPr>
    </w:lvl>
    <w:lvl w:ilvl="2">
      <w:start w:val="0"/>
      <w:numFmt w:val="bullet"/>
      <w:lvlText w:val="•"/>
      <w:lvlJc w:val="left"/>
      <w:pPr>
        <w:ind w:left="3345" w:hanging="802"/>
      </w:pPr>
      <w:rPr>
        <w:rFonts w:hint="default"/>
        <w:lang w:val="zh-CN" w:eastAsia="zh-CN" w:bidi="zh-CN"/>
      </w:rPr>
    </w:lvl>
    <w:lvl w:ilvl="3">
      <w:start w:val="0"/>
      <w:numFmt w:val="bullet"/>
      <w:lvlText w:val="•"/>
      <w:lvlJc w:val="left"/>
      <w:pPr>
        <w:ind w:left="4117" w:hanging="802"/>
      </w:pPr>
      <w:rPr>
        <w:rFonts w:hint="default"/>
        <w:lang w:val="zh-CN" w:eastAsia="zh-CN" w:bidi="zh-CN"/>
      </w:rPr>
    </w:lvl>
    <w:lvl w:ilvl="4">
      <w:start w:val="0"/>
      <w:numFmt w:val="bullet"/>
      <w:lvlText w:val="•"/>
      <w:lvlJc w:val="left"/>
      <w:pPr>
        <w:ind w:left="4890" w:hanging="802"/>
      </w:pPr>
      <w:rPr>
        <w:rFonts w:hint="default"/>
        <w:lang w:val="zh-CN" w:eastAsia="zh-CN" w:bidi="zh-CN"/>
      </w:rPr>
    </w:lvl>
    <w:lvl w:ilvl="5">
      <w:start w:val="0"/>
      <w:numFmt w:val="bullet"/>
      <w:lvlText w:val="•"/>
      <w:lvlJc w:val="left"/>
      <w:pPr>
        <w:ind w:left="5663" w:hanging="802"/>
      </w:pPr>
      <w:rPr>
        <w:rFonts w:hint="default"/>
        <w:lang w:val="zh-CN" w:eastAsia="zh-CN" w:bidi="zh-CN"/>
      </w:rPr>
    </w:lvl>
    <w:lvl w:ilvl="6">
      <w:start w:val="0"/>
      <w:numFmt w:val="bullet"/>
      <w:lvlText w:val="•"/>
      <w:lvlJc w:val="left"/>
      <w:pPr>
        <w:ind w:left="6435" w:hanging="802"/>
      </w:pPr>
      <w:rPr>
        <w:rFonts w:hint="default"/>
        <w:lang w:val="zh-CN" w:eastAsia="zh-CN" w:bidi="zh-CN"/>
      </w:rPr>
    </w:lvl>
    <w:lvl w:ilvl="7">
      <w:start w:val="0"/>
      <w:numFmt w:val="bullet"/>
      <w:lvlText w:val="•"/>
      <w:lvlJc w:val="left"/>
      <w:pPr>
        <w:ind w:left="7208" w:hanging="802"/>
      </w:pPr>
      <w:rPr>
        <w:rFonts w:hint="default"/>
        <w:lang w:val="zh-CN" w:eastAsia="zh-CN" w:bidi="zh-CN"/>
      </w:rPr>
    </w:lvl>
    <w:lvl w:ilvl="8">
      <w:start w:val="0"/>
      <w:numFmt w:val="bullet"/>
      <w:lvlText w:val="•"/>
      <w:lvlJc w:val="left"/>
      <w:pPr>
        <w:ind w:left="7981" w:hanging="802"/>
      </w:pPr>
      <w:rPr>
        <w:rFonts w:hint="default"/>
        <w:lang w:val="zh-CN" w:eastAsia="zh-CN" w:bidi="zh-CN"/>
      </w:rPr>
    </w:lvl>
  </w:abstractNum>
  <w:abstractNum w:abstractNumId="9">
    <w:multiLevelType w:val="hybridMultilevel"/>
    <w:lvl w:ilvl="0">
      <w:start w:val="1"/>
      <w:numFmt w:val="decimal"/>
      <w:lvlText w:val="%1."/>
      <w:lvlJc w:val="left"/>
      <w:pPr>
        <w:ind w:left="1314" w:hanging="320"/>
        <w:jc w:val="left"/>
      </w:pPr>
      <w:rPr>
        <w:rFonts w:hint="default" w:ascii="Times New Roman" w:hAnsi="Times New Roman" w:eastAsia="Times New Roman" w:cs="Times New Roman"/>
        <w:spacing w:val="0"/>
        <w:w w:val="99"/>
        <w:sz w:val="32"/>
        <w:szCs w:val="32"/>
        <w:lang w:val="zh-CN" w:eastAsia="zh-CN" w:bidi="zh-CN"/>
      </w:rPr>
    </w:lvl>
    <w:lvl w:ilvl="1">
      <w:start w:val="0"/>
      <w:numFmt w:val="bullet"/>
      <w:lvlText w:val="•"/>
      <w:lvlJc w:val="left"/>
      <w:pPr>
        <w:ind w:left="2140" w:hanging="320"/>
      </w:pPr>
      <w:rPr>
        <w:rFonts w:hint="default"/>
        <w:lang w:val="zh-CN" w:eastAsia="zh-CN" w:bidi="zh-CN"/>
      </w:rPr>
    </w:lvl>
    <w:lvl w:ilvl="2">
      <w:start w:val="0"/>
      <w:numFmt w:val="bullet"/>
      <w:lvlText w:val="•"/>
      <w:lvlJc w:val="left"/>
      <w:pPr>
        <w:ind w:left="2961" w:hanging="320"/>
      </w:pPr>
      <w:rPr>
        <w:rFonts w:hint="default"/>
        <w:lang w:val="zh-CN" w:eastAsia="zh-CN" w:bidi="zh-CN"/>
      </w:rPr>
    </w:lvl>
    <w:lvl w:ilvl="3">
      <w:start w:val="0"/>
      <w:numFmt w:val="bullet"/>
      <w:lvlText w:val="•"/>
      <w:lvlJc w:val="left"/>
      <w:pPr>
        <w:ind w:left="3781" w:hanging="320"/>
      </w:pPr>
      <w:rPr>
        <w:rFonts w:hint="default"/>
        <w:lang w:val="zh-CN" w:eastAsia="zh-CN" w:bidi="zh-CN"/>
      </w:rPr>
    </w:lvl>
    <w:lvl w:ilvl="4">
      <w:start w:val="0"/>
      <w:numFmt w:val="bullet"/>
      <w:lvlText w:val="•"/>
      <w:lvlJc w:val="left"/>
      <w:pPr>
        <w:ind w:left="4602" w:hanging="320"/>
      </w:pPr>
      <w:rPr>
        <w:rFonts w:hint="default"/>
        <w:lang w:val="zh-CN" w:eastAsia="zh-CN" w:bidi="zh-CN"/>
      </w:rPr>
    </w:lvl>
    <w:lvl w:ilvl="5">
      <w:start w:val="0"/>
      <w:numFmt w:val="bullet"/>
      <w:lvlText w:val="•"/>
      <w:lvlJc w:val="left"/>
      <w:pPr>
        <w:ind w:left="5423" w:hanging="320"/>
      </w:pPr>
      <w:rPr>
        <w:rFonts w:hint="default"/>
        <w:lang w:val="zh-CN" w:eastAsia="zh-CN" w:bidi="zh-CN"/>
      </w:rPr>
    </w:lvl>
    <w:lvl w:ilvl="6">
      <w:start w:val="0"/>
      <w:numFmt w:val="bullet"/>
      <w:lvlText w:val="•"/>
      <w:lvlJc w:val="left"/>
      <w:pPr>
        <w:ind w:left="6243" w:hanging="320"/>
      </w:pPr>
      <w:rPr>
        <w:rFonts w:hint="default"/>
        <w:lang w:val="zh-CN" w:eastAsia="zh-CN" w:bidi="zh-CN"/>
      </w:rPr>
    </w:lvl>
    <w:lvl w:ilvl="7">
      <w:start w:val="0"/>
      <w:numFmt w:val="bullet"/>
      <w:lvlText w:val="•"/>
      <w:lvlJc w:val="left"/>
      <w:pPr>
        <w:ind w:left="7064" w:hanging="320"/>
      </w:pPr>
      <w:rPr>
        <w:rFonts w:hint="default"/>
        <w:lang w:val="zh-CN" w:eastAsia="zh-CN" w:bidi="zh-CN"/>
      </w:rPr>
    </w:lvl>
    <w:lvl w:ilvl="8">
      <w:start w:val="0"/>
      <w:numFmt w:val="bullet"/>
      <w:lvlText w:val="•"/>
      <w:lvlJc w:val="left"/>
      <w:pPr>
        <w:ind w:left="7885" w:hanging="320"/>
      </w:pPr>
      <w:rPr>
        <w:rFonts w:hint="default"/>
        <w:lang w:val="zh-CN" w:eastAsia="zh-CN" w:bidi="zh-CN"/>
      </w:rPr>
    </w:lvl>
  </w:abstractNum>
  <w:abstractNum w:abstractNumId="8">
    <w:multiLevelType w:val="hybridMultilevel"/>
    <w:lvl w:ilvl="0">
      <w:start w:val="1"/>
      <w:numFmt w:val="decimal"/>
      <w:lvlText w:val="%1."/>
      <w:lvlJc w:val="left"/>
      <w:pPr>
        <w:ind w:left="369" w:hanging="372"/>
        <w:jc w:val="left"/>
      </w:pPr>
      <w:rPr>
        <w:rFonts w:hint="default" w:ascii="Times New Roman" w:hAnsi="Times New Roman" w:eastAsia="Times New Roman" w:cs="Times New Roman"/>
        <w:spacing w:val="0"/>
        <w:w w:val="99"/>
        <w:sz w:val="32"/>
        <w:szCs w:val="32"/>
        <w:lang w:val="zh-CN" w:eastAsia="zh-CN" w:bidi="zh-CN"/>
      </w:rPr>
    </w:lvl>
    <w:lvl w:ilvl="1">
      <w:start w:val="0"/>
      <w:numFmt w:val="bullet"/>
      <w:lvlText w:val="•"/>
      <w:lvlJc w:val="left"/>
      <w:pPr>
        <w:ind w:left="1276" w:hanging="372"/>
      </w:pPr>
      <w:rPr>
        <w:rFonts w:hint="default"/>
        <w:lang w:val="zh-CN" w:eastAsia="zh-CN" w:bidi="zh-CN"/>
      </w:rPr>
    </w:lvl>
    <w:lvl w:ilvl="2">
      <w:start w:val="0"/>
      <w:numFmt w:val="bullet"/>
      <w:lvlText w:val="•"/>
      <w:lvlJc w:val="left"/>
      <w:pPr>
        <w:ind w:left="2193" w:hanging="372"/>
      </w:pPr>
      <w:rPr>
        <w:rFonts w:hint="default"/>
        <w:lang w:val="zh-CN" w:eastAsia="zh-CN" w:bidi="zh-CN"/>
      </w:rPr>
    </w:lvl>
    <w:lvl w:ilvl="3">
      <w:start w:val="0"/>
      <w:numFmt w:val="bullet"/>
      <w:lvlText w:val="•"/>
      <w:lvlJc w:val="left"/>
      <w:pPr>
        <w:ind w:left="3109" w:hanging="372"/>
      </w:pPr>
      <w:rPr>
        <w:rFonts w:hint="default"/>
        <w:lang w:val="zh-CN" w:eastAsia="zh-CN" w:bidi="zh-CN"/>
      </w:rPr>
    </w:lvl>
    <w:lvl w:ilvl="4">
      <w:start w:val="0"/>
      <w:numFmt w:val="bullet"/>
      <w:lvlText w:val="•"/>
      <w:lvlJc w:val="left"/>
      <w:pPr>
        <w:ind w:left="4026" w:hanging="372"/>
      </w:pPr>
      <w:rPr>
        <w:rFonts w:hint="default"/>
        <w:lang w:val="zh-CN" w:eastAsia="zh-CN" w:bidi="zh-CN"/>
      </w:rPr>
    </w:lvl>
    <w:lvl w:ilvl="5">
      <w:start w:val="0"/>
      <w:numFmt w:val="bullet"/>
      <w:lvlText w:val="•"/>
      <w:lvlJc w:val="left"/>
      <w:pPr>
        <w:ind w:left="4943" w:hanging="372"/>
      </w:pPr>
      <w:rPr>
        <w:rFonts w:hint="default"/>
        <w:lang w:val="zh-CN" w:eastAsia="zh-CN" w:bidi="zh-CN"/>
      </w:rPr>
    </w:lvl>
    <w:lvl w:ilvl="6">
      <w:start w:val="0"/>
      <w:numFmt w:val="bullet"/>
      <w:lvlText w:val="•"/>
      <w:lvlJc w:val="left"/>
      <w:pPr>
        <w:ind w:left="5859" w:hanging="372"/>
      </w:pPr>
      <w:rPr>
        <w:rFonts w:hint="default"/>
        <w:lang w:val="zh-CN" w:eastAsia="zh-CN" w:bidi="zh-CN"/>
      </w:rPr>
    </w:lvl>
    <w:lvl w:ilvl="7">
      <w:start w:val="0"/>
      <w:numFmt w:val="bullet"/>
      <w:lvlText w:val="•"/>
      <w:lvlJc w:val="left"/>
      <w:pPr>
        <w:ind w:left="6776" w:hanging="372"/>
      </w:pPr>
      <w:rPr>
        <w:rFonts w:hint="default"/>
        <w:lang w:val="zh-CN" w:eastAsia="zh-CN" w:bidi="zh-CN"/>
      </w:rPr>
    </w:lvl>
    <w:lvl w:ilvl="8">
      <w:start w:val="0"/>
      <w:numFmt w:val="bullet"/>
      <w:lvlText w:val="•"/>
      <w:lvlJc w:val="left"/>
      <w:pPr>
        <w:ind w:left="7693" w:hanging="372"/>
      </w:pPr>
      <w:rPr>
        <w:rFonts w:hint="default"/>
        <w:lang w:val="zh-CN" w:eastAsia="zh-CN" w:bidi="zh-CN"/>
      </w:rPr>
    </w:lvl>
  </w:abstractNum>
  <w:abstractNum w:abstractNumId="7">
    <w:multiLevelType w:val="hybridMultilevel"/>
    <w:lvl w:ilvl="0">
      <w:start w:val="1"/>
      <w:numFmt w:val="decimal"/>
      <w:lvlText w:val="%1."/>
      <w:lvlJc w:val="left"/>
      <w:pPr>
        <w:ind w:left="369" w:hanging="372"/>
        <w:jc w:val="left"/>
      </w:pPr>
      <w:rPr>
        <w:rFonts w:hint="default" w:ascii="Times New Roman" w:hAnsi="Times New Roman" w:eastAsia="Times New Roman" w:cs="Times New Roman"/>
        <w:spacing w:val="0"/>
        <w:w w:val="99"/>
        <w:sz w:val="32"/>
        <w:szCs w:val="32"/>
        <w:lang w:val="zh-CN" w:eastAsia="zh-CN" w:bidi="zh-CN"/>
      </w:rPr>
    </w:lvl>
    <w:lvl w:ilvl="1">
      <w:start w:val="0"/>
      <w:numFmt w:val="bullet"/>
      <w:lvlText w:val="•"/>
      <w:lvlJc w:val="left"/>
      <w:pPr>
        <w:ind w:left="1276" w:hanging="372"/>
      </w:pPr>
      <w:rPr>
        <w:rFonts w:hint="default"/>
        <w:lang w:val="zh-CN" w:eastAsia="zh-CN" w:bidi="zh-CN"/>
      </w:rPr>
    </w:lvl>
    <w:lvl w:ilvl="2">
      <w:start w:val="0"/>
      <w:numFmt w:val="bullet"/>
      <w:lvlText w:val="•"/>
      <w:lvlJc w:val="left"/>
      <w:pPr>
        <w:ind w:left="2193" w:hanging="372"/>
      </w:pPr>
      <w:rPr>
        <w:rFonts w:hint="default"/>
        <w:lang w:val="zh-CN" w:eastAsia="zh-CN" w:bidi="zh-CN"/>
      </w:rPr>
    </w:lvl>
    <w:lvl w:ilvl="3">
      <w:start w:val="0"/>
      <w:numFmt w:val="bullet"/>
      <w:lvlText w:val="•"/>
      <w:lvlJc w:val="left"/>
      <w:pPr>
        <w:ind w:left="3109" w:hanging="372"/>
      </w:pPr>
      <w:rPr>
        <w:rFonts w:hint="default"/>
        <w:lang w:val="zh-CN" w:eastAsia="zh-CN" w:bidi="zh-CN"/>
      </w:rPr>
    </w:lvl>
    <w:lvl w:ilvl="4">
      <w:start w:val="0"/>
      <w:numFmt w:val="bullet"/>
      <w:lvlText w:val="•"/>
      <w:lvlJc w:val="left"/>
      <w:pPr>
        <w:ind w:left="4026" w:hanging="372"/>
      </w:pPr>
      <w:rPr>
        <w:rFonts w:hint="default"/>
        <w:lang w:val="zh-CN" w:eastAsia="zh-CN" w:bidi="zh-CN"/>
      </w:rPr>
    </w:lvl>
    <w:lvl w:ilvl="5">
      <w:start w:val="0"/>
      <w:numFmt w:val="bullet"/>
      <w:lvlText w:val="•"/>
      <w:lvlJc w:val="left"/>
      <w:pPr>
        <w:ind w:left="4943" w:hanging="372"/>
      </w:pPr>
      <w:rPr>
        <w:rFonts w:hint="default"/>
        <w:lang w:val="zh-CN" w:eastAsia="zh-CN" w:bidi="zh-CN"/>
      </w:rPr>
    </w:lvl>
    <w:lvl w:ilvl="6">
      <w:start w:val="0"/>
      <w:numFmt w:val="bullet"/>
      <w:lvlText w:val="•"/>
      <w:lvlJc w:val="left"/>
      <w:pPr>
        <w:ind w:left="5859" w:hanging="372"/>
      </w:pPr>
      <w:rPr>
        <w:rFonts w:hint="default"/>
        <w:lang w:val="zh-CN" w:eastAsia="zh-CN" w:bidi="zh-CN"/>
      </w:rPr>
    </w:lvl>
    <w:lvl w:ilvl="7">
      <w:start w:val="0"/>
      <w:numFmt w:val="bullet"/>
      <w:lvlText w:val="•"/>
      <w:lvlJc w:val="left"/>
      <w:pPr>
        <w:ind w:left="6776" w:hanging="372"/>
      </w:pPr>
      <w:rPr>
        <w:rFonts w:hint="default"/>
        <w:lang w:val="zh-CN" w:eastAsia="zh-CN" w:bidi="zh-CN"/>
      </w:rPr>
    </w:lvl>
    <w:lvl w:ilvl="8">
      <w:start w:val="0"/>
      <w:numFmt w:val="bullet"/>
      <w:lvlText w:val="•"/>
      <w:lvlJc w:val="left"/>
      <w:pPr>
        <w:ind w:left="7693" w:hanging="372"/>
      </w:pPr>
      <w:rPr>
        <w:rFonts w:hint="default"/>
        <w:lang w:val="zh-CN" w:eastAsia="zh-CN" w:bidi="zh-CN"/>
      </w:rPr>
    </w:lvl>
  </w:abstractNum>
  <w:abstractNum w:abstractNumId="6">
    <w:multiLevelType w:val="hybridMultilevel"/>
    <w:lvl w:ilvl="0">
      <w:start w:val="1"/>
      <w:numFmt w:val="decimal"/>
      <w:lvlText w:val="%1."/>
      <w:lvlJc w:val="left"/>
      <w:pPr>
        <w:ind w:left="369" w:hanging="372"/>
        <w:jc w:val="left"/>
      </w:pPr>
      <w:rPr>
        <w:rFonts w:hint="default" w:ascii="Times New Roman" w:hAnsi="Times New Roman" w:eastAsia="Times New Roman" w:cs="Times New Roman"/>
        <w:spacing w:val="0"/>
        <w:w w:val="99"/>
        <w:sz w:val="32"/>
        <w:szCs w:val="32"/>
        <w:lang w:val="zh-CN" w:eastAsia="zh-CN" w:bidi="zh-CN"/>
      </w:rPr>
    </w:lvl>
    <w:lvl w:ilvl="1">
      <w:start w:val="0"/>
      <w:numFmt w:val="bullet"/>
      <w:lvlText w:val="•"/>
      <w:lvlJc w:val="left"/>
      <w:pPr>
        <w:ind w:left="1276" w:hanging="372"/>
      </w:pPr>
      <w:rPr>
        <w:rFonts w:hint="default"/>
        <w:lang w:val="zh-CN" w:eastAsia="zh-CN" w:bidi="zh-CN"/>
      </w:rPr>
    </w:lvl>
    <w:lvl w:ilvl="2">
      <w:start w:val="0"/>
      <w:numFmt w:val="bullet"/>
      <w:lvlText w:val="•"/>
      <w:lvlJc w:val="left"/>
      <w:pPr>
        <w:ind w:left="2193" w:hanging="372"/>
      </w:pPr>
      <w:rPr>
        <w:rFonts w:hint="default"/>
        <w:lang w:val="zh-CN" w:eastAsia="zh-CN" w:bidi="zh-CN"/>
      </w:rPr>
    </w:lvl>
    <w:lvl w:ilvl="3">
      <w:start w:val="0"/>
      <w:numFmt w:val="bullet"/>
      <w:lvlText w:val="•"/>
      <w:lvlJc w:val="left"/>
      <w:pPr>
        <w:ind w:left="3109" w:hanging="372"/>
      </w:pPr>
      <w:rPr>
        <w:rFonts w:hint="default"/>
        <w:lang w:val="zh-CN" w:eastAsia="zh-CN" w:bidi="zh-CN"/>
      </w:rPr>
    </w:lvl>
    <w:lvl w:ilvl="4">
      <w:start w:val="0"/>
      <w:numFmt w:val="bullet"/>
      <w:lvlText w:val="•"/>
      <w:lvlJc w:val="left"/>
      <w:pPr>
        <w:ind w:left="4026" w:hanging="372"/>
      </w:pPr>
      <w:rPr>
        <w:rFonts w:hint="default"/>
        <w:lang w:val="zh-CN" w:eastAsia="zh-CN" w:bidi="zh-CN"/>
      </w:rPr>
    </w:lvl>
    <w:lvl w:ilvl="5">
      <w:start w:val="0"/>
      <w:numFmt w:val="bullet"/>
      <w:lvlText w:val="•"/>
      <w:lvlJc w:val="left"/>
      <w:pPr>
        <w:ind w:left="4943" w:hanging="372"/>
      </w:pPr>
      <w:rPr>
        <w:rFonts w:hint="default"/>
        <w:lang w:val="zh-CN" w:eastAsia="zh-CN" w:bidi="zh-CN"/>
      </w:rPr>
    </w:lvl>
    <w:lvl w:ilvl="6">
      <w:start w:val="0"/>
      <w:numFmt w:val="bullet"/>
      <w:lvlText w:val="•"/>
      <w:lvlJc w:val="left"/>
      <w:pPr>
        <w:ind w:left="5859" w:hanging="372"/>
      </w:pPr>
      <w:rPr>
        <w:rFonts w:hint="default"/>
        <w:lang w:val="zh-CN" w:eastAsia="zh-CN" w:bidi="zh-CN"/>
      </w:rPr>
    </w:lvl>
    <w:lvl w:ilvl="7">
      <w:start w:val="0"/>
      <w:numFmt w:val="bullet"/>
      <w:lvlText w:val="•"/>
      <w:lvlJc w:val="left"/>
      <w:pPr>
        <w:ind w:left="6776" w:hanging="372"/>
      </w:pPr>
      <w:rPr>
        <w:rFonts w:hint="default"/>
        <w:lang w:val="zh-CN" w:eastAsia="zh-CN" w:bidi="zh-CN"/>
      </w:rPr>
    </w:lvl>
    <w:lvl w:ilvl="8">
      <w:start w:val="0"/>
      <w:numFmt w:val="bullet"/>
      <w:lvlText w:val="•"/>
      <w:lvlJc w:val="left"/>
      <w:pPr>
        <w:ind w:left="7693" w:hanging="372"/>
      </w:pPr>
      <w:rPr>
        <w:rFonts w:hint="default"/>
        <w:lang w:val="zh-CN" w:eastAsia="zh-CN" w:bidi="zh-CN"/>
      </w:rPr>
    </w:lvl>
  </w:abstractNum>
  <w:abstractNum w:abstractNumId="5">
    <w:multiLevelType w:val="hybridMultilevel"/>
    <w:lvl w:ilvl="0">
      <w:start w:val="1"/>
      <w:numFmt w:val="decimal"/>
      <w:lvlText w:val="%1."/>
      <w:lvlJc w:val="left"/>
      <w:pPr>
        <w:ind w:left="369" w:hanging="372"/>
        <w:jc w:val="left"/>
      </w:pPr>
      <w:rPr>
        <w:rFonts w:hint="default" w:ascii="Times New Roman" w:hAnsi="Times New Roman" w:eastAsia="Times New Roman" w:cs="Times New Roman"/>
        <w:spacing w:val="0"/>
        <w:w w:val="99"/>
        <w:sz w:val="32"/>
        <w:szCs w:val="32"/>
        <w:lang w:val="zh-CN" w:eastAsia="zh-CN" w:bidi="zh-CN"/>
      </w:rPr>
    </w:lvl>
    <w:lvl w:ilvl="1">
      <w:start w:val="0"/>
      <w:numFmt w:val="bullet"/>
      <w:lvlText w:val="•"/>
      <w:lvlJc w:val="left"/>
      <w:pPr>
        <w:ind w:left="1276" w:hanging="372"/>
      </w:pPr>
      <w:rPr>
        <w:rFonts w:hint="default"/>
        <w:lang w:val="zh-CN" w:eastAsia="zh-CN" w:bidi="zh-CN"/>
      </w:rPr>
    </w:lvl>
    <w:lvl w:ilvl="2">
      <w:start w:val="0"/>
      <w:numFmt w:val="bullet"/>
      <w:lvlText w:val="•"/>
      <w:lvlJc w:val="left"/>
      <w:pPr>
        <w:ind w:left="2193" w:hanging="372"/>
      </w:pPr>
      <w:rPr>
        <w:rFonts w:hint="default"/>
        <w:lang w:val="zh-CN" w:eastAsia="zh-CN" w:bidi="zh-CN"/>
      </w:rPr>
    </w:lvl>
    <w:lvl w:ilvl="3">
      <w:start w:val="0"/>
      <w:numFmt w:val="bullet"/>
      <w:lvlText w:val="•"/>
      <w:lvlJc w:val="left"/>
      <w:pPr>
        <w:ind w:left="3109" w:hanging="372"/>
      </w:pPr>
      <w:rPr>
        <w:rFonts w:hint="default"/>
        <w:lang w:val="zh-CN" w:eastAsia="zh-CN" w:bidi="zh-CN"/>
      </w:rPr>
    </w:lvl>
    <w:lvl w:ilvl="4">
      <w:start w:val="0"/>
      <w:numFmt w:val="bullet"/>
      <w:lvlText w:val="•"/>
      <w:lvlJc w:val="left"/>
      <w:pPr>
        <w:ind w:left="4026" w:hanging="372"/>
      </w:pPr>
      <w:rPr>
        <w:rFonts w:hint="default"/>
        <w:lang w:val="zh-CN" w:eastAsia="zh-CN" w:bidi="zh-CN"/>
      </w:rPr>
    </w:lvl>
    <w:lvl w:ilvl="5">
      <w:start w:val="0"/>
      <w:numFmt w:val="bullet"/>
      <w:lvlText w:val="•"/>
      <w:lvlJc w:val="left"/>
      <w:pPr>
        <w:ind w:left="4943" w:hanging="372"/>
      </w:pPr>
      <w:rPr>
        <w:rFonts w:hint="default"/>
        <w:lang w:val="zh-CN" w:eastAsia="zh-CN" w:bidi="zh-CN"/>
      </w:rPr>
    </w:lvl>
    <w:lvl w:ilvl="6">
      <w:start w:val="0"/>
      <w:numFmt w:val="bullet"/>
      <w:lvlText w:val="•"/>
      <w:lvlJc w:val="left"/>
      <w:pPr>
        <w:ind w:left="5859" w:hanging="372"/>
      </w:pPr>
      <w:rPr>
        <w:rFonts w:hint="default"/>
        <w:lang w:val="zh-CN" w:eastAsia="zh-CN" w:bidi="zh-CN"/>
      </w:rPr>
    </w:lvl>
    <w:lvl w:ilvl="7">
      <w:start w:val="0"/>
      <w:numFmt w:val="bullet"/>
      <w:lvlText w:val="•"/>
      <w:lvlJc w:val="left"/>
      <w:pPr>
        <w:ind w:left="6776" w:hanging="372"/>
      </w:pPr>
      <w:rPr>
        <w:rFonts w:hint="default"/>
        <w:lang w:val="zh-CN" w:eastAsia="zh-CN" w:bidi="zh-CN"/>
      </w:rPr>
    </w:lvl>
    <w:lvl w:ilvl="8">
      <w:start w:val="0"/>
      <w:numFmt w:val="bullet"/>
      <w:lvlText w:val="•"/>
      <w:lvlJc w:val="left"/>
      <w:pPr>
        <w:ind w:left="7693" w:hanging="372"/>
      </w:pPr>
      <w:rPr>
        <w:rFonts w:hint="default"/>
        <w:lang w:val="zh-CN" w:eastAsia="zh-CN" w:bidi="zh-CN"/>
      </w:rPr>
    </w:lvl>
  </w:abstractNum>
  <w:abstractNum w:abstractNumId="4">
    <w:multiLevelType w:val="hybridMultilevel"/>
    <w:lvl w:ilvl="0">
      <w:start w:val="1"/>
      <w:numFmt w:val="decimal"/>
      <w:lvlText w:val="（%1）"/>
      <w:lvlJc w:val="left"/>
      <w:pPr>
        <w:ind w:left="1797" w:hanging="802"/>
        <w:jc w:val="left"/>
      </w:pPr>
      <w:rPr>
        <w:rFonts w:hint="default" w:ascii="宋体" w:hAnsi="宋体" w:eastAsia="宋体" w:cs="宋体"/>
        <w:w w:val="99"/>
        <w:sz w:val="30"/>
        <w:szCs w:val="30"/>
        <w:lang w:val="zh-CN" w:eastAsia="zh-CN" w:bidi="zh-CN"/>
      </w:rPr>
    </w:lvl>
    <w:lvl w:ilvl="1">
      <w:start w:val="0"/>
      <w:numFmt w:val="bullet"/>
      <w:lvlText w:val="•"/>
      <w:lvlJc w:val="left"/>
      <w:pPr>
        <w:ind w:left="2572" w:hanging="802"/>
      </w:pPr>
      <w:rPr>
        <w:rFonts w:hint="default"/>
        <w:lang w:val="zh-CN" w:eastAsia="zh-CN" w:bidi="zh-CN"/>
      </w:rPr>
    </w:lvl>
    <w:lvl w:ilvl="2">
      <w:start w:val="0"/>
      <w:numFmt w:val="bullet"/>
      <w:lvlText w:val="•"/>
      <w:lvlJc w:val="left"/>
      <w:pPr>
        <w:ind w:left="3345" w:hanging="802"/>
      </w:pPr>
      <w:rPr>
        <w:rFonts w:hint="default"/>
        <w:lang w:val="zh-CN" w:eastAsia="zh-CN" w:bidi="zh-CN"/>
      </w:rPr>
    </w:lvl>
    <w:lvl w:ilvl="3">
      <w:start w:val="0"/>
      <w:numFmt w:val="bullet"/>
      <w:lvlText w:val="•"/>
      <w:lvlJc w:val="left"/>
      <w:pPr>
        <w:ind w:left="4117" w:hanging="802"/>
      </w:pPr>
      <w:rPr>
        <w:rFonts w:hint="default"/>
        <w:lang w:val="zh-CN" w:eastAsia="zh-CN" w:bidi="zh-CN"/>
      </w:rPr>
    </w:lvl>
    <w:lvl w:ilvl="4">
      <w:start w:val="0"/>
      <w:numFmt w:val="bullet"/>
      <w:lvlText w:val="•"/>
      <w:lvlJc w:val="left"/>
      <w:pPr>
        <w:ind w:left="4890" w:hanging="802"/>
      </w:pPr>
      <w:rPr>
        <w:rFonts w:hint="default"/>
        <w:lang w:val="zh-CN" w:eastAsia="zh-CN" w:bidi="zh-CN"/>
      </w:rPr>
    </w:lvl>
    <w:lvl w:ilvl="5">
      <w:start w:val="0"/>
      <w:numFmt w:val="bullet"/>
      <w:lvlText w:val="•"/>
      <w:lvlJc w:val="left"/>
      <w:pPr>
        <w:ind w:left="5663" w:hanging="802"/>
      </w:pPr>
      <w:rPr>
        <w:rFonts w:hint="default"/>
        <w:lang w:val="zh-CN" w:eastAsia="zh-CN" w:bidi="zh-CN"/>
      </w:rPr>
    </w:lvl>
    <w:lvl w:ilvl="6">
      <w:start w:val="0"/>
      <w:numFmt w:val="bullet"/>
      <w:lvlText w:val="•"/>
      <w:lvlJc w:val="left"/>
      <w:pPr>
        <w:ind w:left="6435" w:hanging="802"/>
      </w:pPr>
      <w:rPr>
        <w:rFonts w:hint="default"/>
        <w:lang w:val="zh-CN" w:eastAsia="zh-CN" w:bidi="zh-CN"/>
      </w:rPr>
    </w:lvl>
    <w:lvl w:ilvl="7">
      <w:start w:val="0"/>
      <w:numFmt w:val="bullet"/>
      <w:lvlText w:val="•"/>
      <w:lvlJc w:val="left"/>
      <w:pPr>
        <w:ind w:left="7208" w:hanging="802"/>
      </w:pPr>
      <w:rPr>
        <w:rFonts w:hint="default"/>
        <w:lang w:val="zh-CN" w:eastAsia="zh-CN" w:bidi="zh-CN"/>
      </w:rPr>
    </w:lvl>
    <w:lvl w:ilvl="8">
      <w:start w:val="0"/>
      <w:numFmt w:val="bullet"/>
      <w:lvlText w:val="•"/>
      <w:lvlJc w:val="left"/>
      <w:pPr>
        <w:ind w:left="7981" w:hanging="802"/>
      </w:pPr>
      <w:rPr>
        <w:rFonts w:hint="default"/>
        <w:lang w:val="zh-CN" w:eastAsia="zh-CN" w:bidi="zh-CN"/>
      </w:rPr>
    </w:lvl>
  </w:abstractNum>
  <w:abstractNum w:abstractNumId="3">
    <w:multiLevelType w:val="hybridMultilevel"/>
    <w:lvl w:ilvl="0">
      <w:start w:val="1"/>
      <w:numFmt w:val="decimal"/>
      <w:lvlText w:val="%1."/>
      <w:lvlJc w:val="left"/>
      <w:pPr>
        <w:ind w:left="369" w:hanging="375"/>
        <w:jc w:val="left"/>
      </w:pPr>
      <w:rPr>
        <w:rFonts w:hint="default" w:ascii="Times New Roman" w:hAnsi="Times New Roman" w:eastAsia="Times New Roman" w:cs="Times New Roman"/>
        <w:spacing w:val="0"/>
        <w:w w:val="99"/>
        <w:sz w:val="32"/>
        <w:szCs w:val="32"/>
        <w:lang w:val="zh-CN" w:eastAsia="zh-CN" w:bidi="zh-CN"/>
      </w:rPr>
    </w:lvl>
    <w:lvl w:ilvl="1">
      <w:start w:val="0"/>
      <w:numFmt w:val="bullet"/>
      <w:lvlText w:val="•"/>
      <w:lvlJc w:val="left"/>
      <w:pPr>
        <w:ind w:left="1276" w:hanging="375"/>
      </w:pPr>
      <w:rPr>
        <w:rFonts w:hint="default"/>
        <w:lang w:val="zh-CN" w:eastAsia="zh-CN" w:bidi="zh-CN"/>
      </w:rPr>
    </w:lvl>
    <w:lvl w:ilvl="2">
      <w:start w:val="0"/>
      <w:numFmt w:val="bullet"/>
      <w:lvlText w:val="•"/>
      <w:lvlJc w:val="left"/>
      <w:pPr>
        <w:ind w:left="2193" w:hanging="375"/>
      </w:pPr>
      <w:rPr>
        <w:rFonts w:hint="default"/>
        <w:lang w:val="zh-CN" w:eastAsia="zh-CN" w:bidi="zh-CN"/>
      </w:rPr>
    </w:lvl>
    <w:lvl w:ilvl="3">
      <w:start w:val="0"/>
      <w:numFmt w:val="bullet"/>
      <w:lvlText w:val="•"/>
      <w:lvlJc w:val="left"/>
      <w:pPr>
        <w:ind w:left="3109" w:hanging="375"/>
      </w:pPr>
      <w:rPr>
        <w:rFonts w:hint="default"/>
        <w:lang w:val="zh-CN" w:eastAsia="zh-CN" w:bidi="zh-CN"/>
      </w:rPr>
    </w:lvl>
    <w:lvl w:ilvl="4">
      <w:start w:val="0"/>
      <w:numFmt w:val="bullet"/>
      <w:lvlText w:val="•"/>
      <w:lvlJc w:val="left"/>
      <w:pPr>
        <w:ind w:left="4026" w:hanging="375"/>
      </w:pPr>
      <w:rPr>
        <w:rFonts w:hint="default"/>
        <w:lang w:val="zh-CN" w:eastAsia="zh-CN" w:bidi="zh-CN"/>
      </w:rPr>
    </w:lvl>
    <w:lvl w:ilvl="5">
      <w:start w:val="0"/>
      <w:numFmt w:val="bullet"/>
      <w:lvlText w:val="•"/>
      <w:lvlJc w:val="left"/>
      <w:pPr>
        <w:ind w:left="4943" w:hanging="375"/>
      </w:pPr>
      <w:rPr>
        <w:rFonts w:hint="default"/>
        <w:lang w:val="zh-CN" w:eastAsia="zh-CN" w:bidi="zh-CN"/>
      </w:rPr>
    </w:lvl>
    <w:lvl w:ilvl="6">
      <w:start w:val="0"/>
      <w:numFmt w:val="bullet"/>
      <w:lvlText w:val="•"/>
      <w:lvlJc w:val="left"/>
      <w:pPr>
        <w:ind w:left="5859" w:hanging="375"/>
      </w:pPr>
      <w:rPr>
        <w:rFonts w:hint="default"/>
        <w:lang w:val="zh-CN" w:eastAsia="zh-CN" w:bidi="zh-CN"/>
      </w:rPr>
    </w:lvl>
    <w:lvl w:ilvl="7">
      <w:start w:val="0"/>
      <w:numFmt w:val="bullet"/>
      <w:lvlText w:val="•"/>
      <w:lvlJc w:val="left"/>
      <w:pPr>
        <w:ind w:left="6776" w:hanging="375"/>
      </w:pPr>
      <w:rPr>
        <w:rFonts w:hint="default"/>
        <w:lang w:val="zh-CN" w:eastAsia="zh-CN" w:bidi="zh-CN"/>
      </w:rPr>
    </w:lvl>
    <w:lvl w:ilvl="8">
      <w:start w:val="0"/>
      <w:numFmt w:val="bullet"/>
      <w:lvlText w:val="•"/>
      <w:lvlJc w:val="left"/>
      <w:pPr>
        <w:ind w:left="7693" w:hanging="375"/>
      </w:pPr>
      <w:rPr>
        <w:rFonts w:hint="default"/>
        <w:lang w:val="zh-CN" w:eastAsia="zh-CN" w:bidi="zh-CN"/>
      </w:rPr>
    </w:lvl>
  </w:abstractNum>
  <w:abstractNum w:abstractNumId="2">
    <w:multiLevelType w:val="hybridMultilevel"/>
    <w:lvl w:ilvl="0">
      <w:start w:val="7"/>
      <w:numFmt w:val="decimal"/>
      <w:lvlText w:val="（%1）"/>
      <w:lvlJc w:val="left"/>
      <w:pPr>
        <w:ind w:left="1811" w:hanging="802"/>
        <w:jc w:val="left"/>
      </w:pPr>
      <w:rPr>
        <w:rFonts w:hint="default"/>
        <w:w w:val="99"/>
        <w:lang w:val="zh-CN" w:eastAsia="zh-CN" w:bidi="zh-CN"/>
      </w:rPr>
    </w:lvl>
    <w:lvl w:ilvl="1">
      <w:start w:val="0"/>
      <w:numFmt w:val="bullet"/>
      <w:lvlText w:val="•"/>
      <w:lvlJc w:val="left"/>
      <w:pPr>
        <w:ind w:left="2590" w:hanging="802"/>
      </w:pPr>
      <w:rPr>
        <w:rFonts w:hint="default"/>
        <w:lang w:val="zh-CN" w:eastAsia="zh-CN" w:bidi="zh-CN"/>
      </w:rPr>
    </w:lvl>
    <w:lvl w:ilvl="2">
      <w:start w:val="0"/>
      <w:numFmt w:val="bullet"/>
      <w:lvlText w:val="•"/>
      <w:lvlJc w:val="left"/>
      <w:pPr>
        <w:ind w:left="3361" w:hanging="802"/>
      </w:pPr>
      <w:rPr>
        <w:rFonts w:hint="default"/>
        <w:lang w:val="zh-CN" w:eastAsia="zh-CN" w:bidi="zh-CN"/>
      </w:rPr>
    </w:lvl>
    <w:lvl w:ilvl="3">
      <w:start w:val="0"/>
      <w:numFmt w:val="bullet"/>
      <w:lvlText w:val="•"/>
      <w:lvlJc w:val="left"/>
      <w:pPr>
        <w:ind w:left="4131" w:hanging="802"/>
      </w:pPr>
      <w:rPr>
        <w:rFonts w:hint="default"/>
        <w:lang w:val="zh-CN" w:eastAsia="zh-CN" w:bidi="zh-CN"/>
      </w:rPr>
    </w:lvl>
    <w:lvl w:ilvl="4">
      <w:start w:val="0"/>
      <w:numFmt w:val="bullet"/>
      <w:lvlText w:val="•"/>
      <w:lvlJc w:val="left"/>
      <w:pPr>
        <w:ind w:left="4902" w:hanging="802"/>
      </w:pPr>
      <w:rPr>
        <w:rFonts w:hint="default"/>
        <w:lang w:val="zh-CN" w:eastAsia="zh-CN" w:bidi="zh-CN"/>
      </w:rPr>
    </w:lvl>
    <w:lvl w:ilvl="5">
      <w:start w:val="0"/>
      <w:numFmt w:val="bullet"/>
      <w:lvlText w:val="•"/>
      <w:lvlJc w:val="left"/>
      <w:pPr>
        <w:ind w:left="5673" w:hanging="802"/>
      </w:pPr>
      <w:rPr>
        <w:rFonts w:hint="default"/>
        <w:lang w:val="zh-CN" w:eastAsia="zh-CN" w:bidi="zh-CN"/>
      </w:rPr>
    </w:lvl>
    <w:lvl w:ilvl="6">
      <w:start w:val="0"/>
      <w:numFmt w:val="bullet"/>
      <w:lvlText w:val="•"/>
      <w:lvlJc w:val="left"/>
      <w:pPr>
        <w:ind w:left="6443" w:hanging="802"/>
      </w:pPr>
      <w:rPr>
        <w:rFonts w:hint="default"/>
        <w:lang w:val="zh-CN" w:eastAsia="zh-CN" w:bidi="zh-CN"/>
      </w:rPr>
    </w:lvl>
    <w:lvl w:ilvl="7">
      <w:start w:val="0"/>
      <w:numFmt w:val="bullet"/>
      <w:lvlText w:val="•"/>
      <w:lvlJc w:val="left"/>
      <w:pPr>
        <w:ind w:left="7214" w:hanging="802"/>
      </w:pPr>
      <w:rPr>
        <w:rFonts w:hint="default"/>
        <w:lang w:val="zh-CN" w:eastAsia="zh-CN" w:bidi="zh-CN"/>
      </w:rPr>
    </w:lvl>
    <w:lvl w:ilvl="8">
      <w:start w:val="0"/>
      <w:numFmt w:val="bullet"/>
      <w:lvlText w:val="•"/>
      <w:lvlJc w:val="left"/>
      <w:pPr>
        <w:ind w:left="7985" w:hanging="802"/>
      </w:pPr>
      <w:rPr>
        <w:rFonts w:hint="default"/>
        <w:lang w:val="zh-CN" w:eastAsia="zh-CN" w:bidi="zh-CN"/>
      </w:rPr>
    </w:lvl>
  </w:abstractNum>
  <w:abstractNum w:abstractNumId="1">
    <w:multiLevelType w:val="hybridMultilevel"/>
    <w:lvl w:ilvl="0">
      <w:start w:val="1"/>
      <w:numFmt w:val="decimal"/>
      <w:lvlText w:val="（%1）"/>
      <w:lvlJc w:val="left"/>
      <w:pPr>
        <w:ind w:left="369" w:hanging="821"/>
        <w:jc w:val="left"/>
      </w:pPr>
      <w:rPr>
        <w:rFonts w:hint="default" w:ascii="宋体" w:hAnsi="宋体" w:eastAsia="宋体" w:cs="宋体"/>
        <w:spacing w:val="-152"/>
        <w:w w:val="99"/>
        <w:sz w:val="30"/>
        <w:szCs w:val="30"/>
        <w:lang w:val="zh-CN" w:eastAsia="zh-CN" w:bidi="zh-CN"/>
      </w:rPr>
    </w:lvl>
    <w:lvl w:ilvl="1">
      <w:start w:val="1"/>
      <w:numFmt w:val="decimal"/>
      <w:lvlText w:val="（%2）"/>
      <w:lvlJc w:val="left"/>
      <w:pPr>
        <w:ind w:left="1721" w:hanging="753"/>
        <w:jc w:val="left"/>
      </w:pPr>
      <w:rPr>
        <w:rFonts w:hint="default" w:ascii="宋体" w:hAnsi="宋体" w:eastAsia="宋体" w:cs="宋体"/>
        <w:spacing w:val="-152"/>
        <w:w w:val="99"/>
        <w:sz w:val="28"/>
        <w:szCs w:val="28"/>
        <w:lang w:val="zh-CN" w:eastAsia="zh-CN" w:bidi="zh-CN"/>
      </w:rPr>
    </w:lvl>
    <w:lvl w:ilvl="2">
      <w:start w:val="0"/>
      <w:numFmt w:val="bullet"/>
      <w:lvlText w:val="•"/>
      <w:lvlJc w:val="left"/>
      <w:pPr>
        <w:ind w:left="2587" w:hanging="753"/>
      </w:pPr>
      <w:rPr>
        <w:rFonts w:hint="default"/>
        <w:lang w:val="zh-CN" w:eastAsia="zh-CN" w:bidi="zh-CN"/>
      </w:rPr>
    </w:lvl>
    <w:lvl w:ilvl="3">
      <w:start w:val="0"/>
      <w:numFmt w:val="bullet"/>
      <w:lvlText w:val="•"/>
      <w:lvlJc w:val="left"/>
      <w:pPr>
        <w:ind w:left="3454" w:hanging="753"/>
      </w:pPr>
      <w:rPr>
        <w:rFonts w:hint="default"/>
        <w:lang w:val="zh-CN" w:eastAsia="zh-CN" w:bidi="zh-CN"/>
      </w:rPr>
    </w:lvl>
    <w:lvl w:ilvl="4">
      <w:start w:val="0"/>
      <w:numFmt w:val="bullet"/>
      <w:lvlText w:val="•"/>
      <w:lvlJc w:val="left"/>
      <w:pPr>
        <w:ind w:left="4322" w:hanging="753"/>
      </w:pPr>
      <w:rPr>
        <w:rFonts w:hint="default"/>
        <w:lang w:val="zh-CN" w:eastAsia="zh-CN" w:bidi="zh-CN"/>
      </w:rPr>
    </w:lvl>
    <w:lvl w:ilvl="5">
      <w:start w:val="0"/>
      <w:numFmt w:val="bullet"/>
      <w:lvlText w:val="•"/>
      <w:lvlJc w:val="left"/>
      <w:pPr>
        <w:ind w:left="5189" w:hanging="753"/>
      </w:pPr>
      <w:rPr>
        <w:rFonts w:hint="default"/>
        <w:lang w:val="zh-CN" w:eastAsia="zh-CN" w:bidi="zh-CN"/>
      </w:rPr>
    </w:lvl>
    <w:lvl w:ilvl="6">
      <w:start w:val="0"/>
      <w:numFmt w:val="bullet"/>
      <w:lvlText w:val="•"/>
      <w:lvlJc w:val="left"/>
      <w:pPr>
        <w:ind w:left="6056" w:hanging="753"/>
      </w:pPr>
      <w:rPr>
        <w:rFonts w:hint="default"/>
        <w:lang w:val="zh-CN" w:eastAsia="zh-CN" w:bidi="zh-CN"/>
      </w:rPr>
    </w:lvl>
    <w:lvl w:ilvl="7">
      <w:start w:val="0"/>
      <w:numFmt w:val="bullet"/>
      <w:lvlText w:val="•"/>
      <w:lvlJc w:val="left"/>
      <w:pPr>
        <w:ind w:left="6924" w:hanging="753"/>
      </w:pPr>
      <w:rPr>
        <w:rFonts w:hint="default"/>
        <w:lang w:val="zh-CN" w:eastAsia="zh-CN" w:bidi="zh-CN"/>
      </w:rPr>
    </w:lvl>
    <w:lvl w:ilvl="8">
      <w:start w:val="0"/>
      <w:numFmt w:val="bullet"/>
      <w:lvlText w:val="•"/>
      <w:lvlJc w:val="left"/>
      <w:pPr>
        <w:ind w:left="7791" w:hanging="753"/>
      </w:pPr>
      <w:rPr>
        <w:rFonts w:hint="default"/>
        <w:lang w:val="zh-CN" w:eastAsia="zh-CN" w:bidi="zh-CN"/>
      </w:rPr>
    </w:lvl>
  </w:abstractNum>
  <w:abstractNum w:abstractNumId="0">
    <w:multiLevelType w:val="hybridMultilevel"/>
    <w:lvl w:ilvl="0">
      <w:start w:val="1"/>
      <w:numFmt w:val="decimal"/>
      <w:lvlText w:val="（%1）"/>
      <w:lvlJc w:val="left"/>
      <w:pPr>
        <w:ind w:left="1721" w:hanging="801"/>
        <w:jc w:val="left"/>
      </w:pPr>
      <w:rPr>
        <w:rFonts w:hint="default" w:ascii="宋体" w:hAnsi="宋体" w:eastAsia="宋体" w:cs="宋体"/>
        <w:spacing w:val="-81"/>
        <w:w w:val="98"/>
        <w:sz w:val="30"/>
        <w:szCs w:val="30"/>
        <w:lang w:val="zh-CN" w:eastAsia="zh-CN" w:bidi="zh-CN"/>
      </w:rPr>
    </w:lvl>
    <w:lvl w:ilvl="1">
      <w:start w:val="0"/>
      <w:numFmt w:val="bullet"/>
      <w:lvlText w:val="•"/>
      <w:lvlJc w:val="left"/>
      <w:pPr>
        <w:ind w:left="2500" w:hanging="801"/>
      </w:pPr>
      <w:rPr>
        <w:rFonts w:hint="default"/>
        <w:lang w:val="zh-CN" w:eastAsia="zh-CN" w:bidi="zh-CN"/>
      </w:rPr>
    </w:lvl>
    <w:lvl w:ilvl="2">
      <w:start w:val="0"/>
      <w:numFmt w:val="bullet"/>
      <w:lvlText w:val="•"/>
      <w:lvlJc w:val="left"/>
      <w:pPr>
        <w:ind w:left="3281" w:hanging="801"/>
      </w:pPr>
      <w:rPr>
        <w:rFonts w:hint="default"/>
        <w:lang w:val="zh-CN" w:eastAsia="zh-CN" w:bidi="zh-CN"/>
      </w:rPr>
    </w:lvl>
    <w:lvl w:ilvl="3">
      <w:start w:val="0"/>
      <w:numFmt w:val="bullet"/>
      <w:lvlText w:val="•"/>
      <w:lvlJc w:val="left"/>
      <w:pPr>
        <w:ind w:left="4061" w:hanging="801"/>
      </w:pPr>
      <w:rPr>
        <w:rFonts w:hint="default"/>
        <w:lang w:val="zh-CN" w:eastAsia="zh-CN" w:bidi="zh-CN"/>
      </w:rPr>
    </w:lvl>
    <w:lvl w:ilvl="4">
      <w:start w:val="0"/>
      <w:numFmt w:val="bullet"/>
      <w:lvlText w:val="•"/>
      <w:lvlJc w:val="left"/>
      <w:pPr>
        <w:ind w:left="4842" w:hanging="801"/>
      </w:pPr>
      <w:rPr>
        <w:rFonts w:hint="default"/>
        <w:lang w:val="zh-CN" w:eastAsia="zh-CN" w:bidi="zh-CN"/>
      </w:rPr>
    </w:lvl>
    <w:lvl w:ilvl="5">
      <w:start w:val="0"/>
      <w:numFmt w:val="bullet"/>
      <w:lvlText w:val="•"/>
      <w:lvlJc w:val="left"/>
      <w:pPr>
        <w:ind w:left="5623" w:hanging="801"/>
      </w:pPr>
      <w:rPr>
        <w:rFonts w:hint="default"/>
        <w:lang w:val="zh-CN" w:eastAsia="zh-CN" w:bidi="zh-CN"/>
      </w:rPr>
    </w:lvl>
    <w:lvl w:ilvl="6">
      <w:start w:val="0"/>
      <w:numFmt w:val="bullet"/>
      <w:lvlText w:val="•"/>
      <w:lvlJc w:val="left"/>
      <w:pPr>
        <w:ind w:left="6403" w:hanging="801"/>
      </w:pPr>
      <w:rPr>
        <w:rFonts w:hint="default"/>
        <w:lang w:val="zh-CN" w:eastAsia="zh-CN" w:bidi="zh-CN"/>
      </w:rPr>
    </w:lvl>
    <w:lvl w:ilvl="7">
      <w:start w:val="0"/>
      <w:numFmt w:val="bullet"/>
      <w:lvlText w:val="•"/>
      <w:lvlJc w:val="left"/>
      <w:pPr>
        <w:ind w:left="7184" w:hanging="801"/>
      </w:pPr>
      <w:rPr>
        <w:rFonts w:hint="default"/>
        <w:lang w:val="zh-CN" w:eastAsia="zh-CN" w:bidi="zh-CN"/>
      </w:rPr>
    </w:lvl>
    <w:lvl w:ilvl="8">
      <w:start w:val="0"/>
      <w:numFmt w:val="bullet"/>
      <w:lvlText w:val="•"/>
      <w:lvlJc w:val="left"/>
      <w:pPr>
        <w:ind w:left="7965" w:hanging="801"/>
      </w:pPr>
      <w:rPr>
        <w:rFonts w:hint="default"/>
        <w:lang w:val="zh-CN" w:eastAsia="zh-CN" w:bidi="zh-CN"/>
      </w:rPr>
    </w:lvl>
  </w:abstract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zh-CN" w:eastAsia="zh-CN" w:bidi="zh-CN"/>
    </w:rPr>
  </w:style>
  <w:style w:styleId="BodyText" w:type="paragraph">
    <w:name w:val="Body Text"/>
    <w:basedOn w:val="Normal"/>
    <w:uiPriority w:val="1"/>
    <w:qFormat/>
    <w:pPr>
      <w:ind w:left="369"/>
    </w:pPr>
    <w:rPr>
      <w:rFonts w:ascii="宋体" w:hAnsi="宋体" w:eastAsia="宋体" w:cs="宋体"/>
      <w:sz w:val="32"/>
      <w:szCs w:val="32"/>
      <w:lang w:val="zh-CN" w:eastAsia="zh-CN" w:bidi="zh-CN"/>
    </w:rPr>
  </w:style>
  <w:style w:styleId="Heading1" w:type="paragraph">
    <w:name w:val="Heading 1"/>
    <w:basedOn w:val="Normal"/>
    <w:uiPriority w:val="1"/>
    <w:qFormat/>
    <w:pPr>
      <w:spacing w:line="488" w:lineRule="exact"/>
      <w:outlineLvl w:val="1"/>
    </w:pPr>
    <w:rPr>
      <w:rFonts w:ascii="微软雅黑" w:hAnsi="微软雅黑" w:eastAsia="微软雅黑" w:cs="微软雅黑"/>
      <w:b/>
      <w:bCs/>
      <w:sz w:val="32"/>
      <w:szCs w:val="32"/>
      <w:lang w:val="zh-CN" w:eastAsia="zh-CN" w:bidi="zh-CN"/>
    </w:rPr>
  </w:style>
  <w:style w:styleId="ListParagraph" w:type="paragraph">
    <w:name w:val="List Paragraph"/>
    <w:basedOn w:val="Normal"/>
    <w:uiPriority w:val="1"/>
    <w:qFormat/>
    <w:pPr>
      <w:ind w:left="369" w:firstLine="626"/>
    </w:pPr>
    <w:rPr>
      <w:rFonts w:ascii="宋体" w:hAnsi="宋体" w:eastAsia="宋体" w:cs="宋体"/>
      <w:lang w:val="zh-CN" w:eastAsia="zh-CN" w:bidi="zh-CN"/>
    </w:rPr>
  </w:style>
  <w:style w:styleId="TableParagraph" w:type="paragraph">
    <w:name w:val="Table Paragraph"/>
    <w:basedOn w:val="Normal"/>
    <w:uiPriority w:val="1"/>
    <w:qFormat/>
    <w:pPr>
      <w:ind w:left="108"/>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hyperlink" Target="http://www.zcqxxx.com/index.shtml" TargetMode="External"/><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tommy</dc:creator>
  <dc:title>徐州市医疗卫生机构医用耗材和检验检测试剂</dc:title>
  <dcterms:created xsi:type="dcterms:W3CDTF">2018-07-20T02:26:55Z</dcterms:created>
  <dcterms:modified xsi:type="dcterms:W3CDTF">2018-07-20T02:26:55Z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2018-07-18T00:00:00Z</vt:filetime>
  </property>
  <property fmtid="{D5CDD505-2E9C-101B-9397-08002B2CF9AE}" pid="3" name="Creator">
    <vt:lpwstr>Microsoft® Word 2010</vt:lpwstr>
  </property>
  <property fmtid="{D5CDD505-2E9C-101B-9397-08002B2CF9AE}" pid="4" name="LastSaved">
    <vt:filetime>2018-07-20T00:00:00Z</vt:filetime>
  </property>
</Properties>
</file>